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участие в открытом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конкурсе экскурсоводов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 рамках празднования 100-летия Ленинградской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1_633"/>
        <w:tblW w:w="9567" w:type="dxa"/>
        <w:tblLook w:val="04A0" w:firstRow="1" w:lastRow="0" w:firstColumn="1" w:lastColumn="0" w:noHBand="0" w:noVBand="1"/>
      </w:tblPr>
      <w:tblGrid>
        <w:gridCol w:w="4678"/>
        <w:gridCol w:w="4889"/>
      </w:tblGrid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ФИО участника и (или) наименование организации, если заявителем является ИП, юридическое лицо)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если подается коллективная заявка – указываются данные всех участников.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ФИО экскурсовода (гида)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(для номинации «Лучший экскурсовод»)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Электронная почта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</w:p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</w:p>
        </w:tc>
      </w:tr>
      <w:tr>
        <w:tblPrEx/>
        <w:trPr>
          <w:trHeight w:val="276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экскурсии (суть, продолжительность, целевая аудитория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</w:p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</w:p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</w:p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</w:p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</w:p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r>
          </w:p>
        </w:tc>
      </w:tr>
      <w:tr>
        <w:tblPrEx/>
        <w:trPr>
          <w:trHeight w:val="276"/>
        </w:trPr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видеовизитку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89" w:type="dxa"/>
            <w:vMerge w:val="restart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outlineLvl w:val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r>
          </w:p>
        </w:tc>
      </w:tr>
      <w:tr>
        <w:tblPrEx/>
        <w:trPr>
          <w:trHeight w:val="276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(необходимо выбрать один вариант)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2336" behindDoc="0" locked="0" layoutInCell="1" allowOverlap="1">
                      <wp:simplePos x="0" y="0"/>
                      <wp:positionH relativeFrom="column">
                        <wp:posOffset>-3470</wp:posOffset>
                      </wp:positionH>
                      <wp:positionV relativeFrom="paragraph">
                        <wp:posOffset>16127</wp:posOffset>
                      </wp:positionV>
                      <wp:extent cx="171450" cy="161925"/>
                      <wp:effectExtent l="6350" t="6350" r="6350" b="6350"/>
                      <wp:wrapNone/>
                      <wp:docPr id="1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1448" cy="1619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51662336;o:allowoverlap:true;o:allowincell:true;mso-position-horizontal-relative:text;margin-left:-0.27pt;mso-position-horizontal:absolute;mso-position-vertical-relative:text;margin-top:1.27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«Жемчужина 100-летия»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212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336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158750</wp:posOffset>
                      </wp:positionV>
                      <wp:extent cx="171450" cy="161925"/>
                      <wp:effectExtent l="0" t="0" r="19050" b="28575"/>
                      <wp:wrapNone/>
                      <wp:docPr id="2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1450" cy="1619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51663360;o:allowoverlap:true;o:allowincell:true;mso-position-horizontal-relative:text;margin-left:-1.75pt;mso-position-horizontal:absolute;mso-position-vertical-relative:text;margin-top:12.50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212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в истории 100-летия Ленинградской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212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745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148590</wp:posOffset>
                      </wp:positionV>
                      <wp:extent cx="171450" cy="161925"/>
                      <wp:effectExtent l="0" t="0" r="19050" b="28575"/>
                      <wp:wrapNone/>
                      <wp:docPr id="3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1450" cy="1619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251667456;o:allowoverlap:true;o:allowincell:true;mso-position-horizontal-relative:text;margin-left:-1.75pt;mso-position-horizontal:absolute;mso-position-vertical-relative:text;margin-top:11.70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2127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Ленинградская область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/>
            <w:r/>
          </w:p>
          <w:p>
            <w:pPr>
              <w:tabs>
                <w:tab w:val="left" w:pos="2127" w:leader="none"/>
              </w:tabs>
            </w:pPr>
            <w:r/>
            <w:r/>
            <w:r/>
          </w:p>
        </w:tc>
      </w:tr>
      <w:tr>
        <w:tblPrEx/>
        <w:trPr>
          <w:trHeight w:val="276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Даю согласие на участие в конкурсе на приз зрительских симпатий 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поставить галочку при наличии согласия)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lang w:eastAsia="ru-RU"/>
              </w:rPr>
              <w:outlineLvl w:val="0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5408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136525</wp:posOffset>
                      </wp:positionV>
                      <wp:extent cx="171450" cy="161925"/>
                      <wp:effectExtent l="0" t="0" r="19050" b="28575"/>
                      <wp:wrapNone/>
                      <wp:docPr id="4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1450" cy="1619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251665408;o:allowoverlap:true;o:allowincell:true;mso-position-horizontal-relative:text;margin-left:-1.75pt;mso-position-horizontal:absolute;mso-position-vertical-relative:text;margin-top:10.75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tabs>
                <w:tab w:val="left" w:pos="425" w:leader="none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 xml:space="preserve">Даю согласие 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Настоящим ___________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наименование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дает согласие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обработку персональных данных, указанных в настоящей заявке,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tooltip="https://login.consultant.ru/link/?req=doc&amp;base=LAW&amp;n=1561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дает согласие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Организаторам </w:t>
      </w:r>
      <w:r>
        <w:rPr>
          <w:rFonts w:ascii="Times New Roman" w:hAnsi="Times New Roman" w:cs="Times New Roman"/>
          <w:sz w:val="24"/>
          <w:szCs w:val="24"/>
        </w:rPr>
        <w:t xml:space="preserve">на публикацию (размещение) в сети «Интернет» информации об участнике конкурса, подаваемой заявке, видеоролика, иной информации, связанной с участие в отборе;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гарантирую, что при подготовке и направлении видеоролика на конкурс не были и не будут нарушены авторские и/или иные смежные права третьих лиц;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даю согласие на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Организаторами конкурса</w:t>
      </w:r>
      <w:r>
        <w:rPr>
          <w:rFonts w:ascii="Times New Roman" w:hAnsi="Times New Roman" w:cs="Times New Roman"/>
          <w:sz w:val="24"/>
          <w:szCs w:val="24"/>
        </w:rPr>
        <w:t xml:space="preserve"> видеоролика в некоммерческих целях (размещение в сети «Интернет», в методических и информационных изданиях, каталогах, для трансляции по телевидению, </w:t>
      </w:r>
      <w:r>
        <w:rPr>
          <w:rFonts w:ascii="Times New Roman" w:hAnsi="Times New Roman" w:cs="Times New Roman"/>
          <w:sz w:val="24"/>
          <w:szCs w:val="24"/>
        </w:rPr>
        <w:t xml:space="preserve">на ресурсах и мероприятиях Организаторов,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в учебных целях) на безвозмездной основе без дополнительных </w:t>
      </w:r>
      <w:r>
        <w:rPr>
          <w:rFonts w:ascii="Times New Roman" w:hAnsi="Times New Roman" w:cs="Times New Roman"/>
          <w:sz w:val="24"/>
          <w:szCs w:val="24"/>
        </w:rPr>
        <w:t xml:space="preserve">разрешений и условий. Территория действия передаваемых Организаторам прав не ограничена. Авторские права при этом остаютс</w:t>
      </w:r>
      <w:r>
        <w:rPr>
          <w:rFonts w:ascii="Times New Roman" w:hAnsi="Times New Roman" w:cs="Times New Roman"/>
          <w:sz w:val="24"/>
          <w:szCs w:val="24"/>
        </w:rPr>
        <w:t xml:space="preserve">я за правообладателем (автором);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дает </w:t>
      </w:r>
      <w:r>
        <w:rPr>
          <w:rFonts w:ascii="Times New Roman" w:hAnsi="Times New Roman" w:cs="Times New Roman"/>
          <w:sz w:val="24"/>
          <w:szCs w:val="24"/>
        </w:rPr>
        <w:t xml:space="preserve">согласие Организаторам на ф</w:t>
      </w:r>
      <w:r>
        <w:rPr>
          <w:rFonts w:ascii="Times New Roman" w:hAnsi="Times New Roman" w:cs="Times New Roman"/>
          <w:sz w:val="24"/>
          <w:szCs w:val="24"/>
        </w:rPr>
        <w:t xml:space="preserve">ото-, видеосъёмку</w:t>
      </w:r>
      <w:r>
        <w:rPr>
          <w:rFonts w:ascii="Times New Roman" w:hAnsi="Times New Roman" w:cs="Times New Roman"/>
          <w:sz w:val="24"/>
          <w:szCs w:val="24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</w:rPr>
        <w:t xml:space="preserve"> отбора, </w:t>
      </w:r>
      <w:r>
        <w:rPr>
          <w:rFonts w:ascii="Times New Roman" w:hAnsi="Times New Roman" w:cs="Times New Roman"/>
          <w:sz w:val="24"/>
          <w:szCs w:val="24"/>
        </w:rPr>
        <w:t xml:space="preserve">в том числе при </w:t>
      </w:r>
      <w:r>
        <w:rPr>
          <w:rFonts w:ascii="Times New Roman" w:hAnsi="Times New Roman" w:cs="Times New Roman"/>
          <w:sz w:val="24"/>
          <w:szCs w:val="24"/>
        </w:rPr>
        <w:t xml:space="preserve">проведени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им экскурсии в рамках третьего этапа </w:t>
      </w:r>
      <w:r>
        <w:rPr>
          <w:rFonts w:ascii="Times New Roman" w:hAnsi="Times New Roman" w:cs="Times New Roman"/>
          <w:sz w:val="24"/>
          <w:szCs w:val="24"/>
        </w:rPr>
        <w:t xml:space="preserve">конкурса (в случае признания его финалистом)</w:t>
      </w:r>
      <w:r>
        <w:rPr>
          <w:rFonts w:ascii="Times New Roman" w:hAnsi="Times New Roman" w:cs="Times New Roman"/>
          <w:sz w:val="24"/>
          <w:szCs w:val="24"/>
        </w:rPr>
        <w:t xml:space="preserve">, обработку, публикацию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фото- и видеоматериалов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 xml:space="preserve">видеовизитка</w:t>
      </w:r>
      <w:r>
        <w:rPr>
          <w:rFonts w:ascii="Times New Roman" w:hAnsi="Times New Roman" w:cs="Times New Roman"/>
          <w:sz w:val="24"/>
          <w:szCs w:val="24"/>
        </w:rPr>
        <w:t xml:space="preserve"> экскурсии (в случае если прилагается файлом)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table" w:styleId="1_633" w:customStyle="1">
    <w:name w:val="Сетка таблицы2"/>
    <w:basedOn w:val="756"/>
    <w:next w:val="799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1561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sa_kurkova</cp:lastModifiedBy>
  <cp:revision>1</cp:revision>
  <dcterms:modified xsi:type="dcterms:W3CDTF">2026-04-03T10:05:02Z</dcterms:modified>
</cp:coreProperties>
</file>