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19"/>
        <w:jc w:val="center"/>
        <w:outlineLvl w:val="0"/>
      </w:pPr>
      <w:r>
        <w:rPr>
          <w:sz w:val="24"/>
        </w:rPr>
        <w:t xml:space="preserve">ПРАВИТЕЛЬСТВО ЛЕНИНГРАДСКОЙ ОБЛАСТИ</w:t>
      </w:r>
      <w:r/>
    </w:p>
    <w:p>
      <w:pPr>
        <w:pStyle w:val="619"/>
        <w:jc w:val="center"/>
      </w:pPr>
      <w:r>
        <w:rPr>
          <w:sz w:val="24"/>
        </w:rPr>
      </w:r>
      <w:r/>
    </w:p>
    <w:p>
      <w:pPr>
        <w:pStyle w:val="619"/>
        <w:jc w:val="center"/>
      </w:pPr>
      <w:r>
        <w:rPr>
          <w:sz w:val="24"/>
        </w:rPr>
        <w:t xml:space="preserve">ПОСТАНОВЛЕНИЕ</w:t>
      </w:r>
      <w:r/>
    </w:p>
    <w:p>
      <w:pPr>
        <w:pStyle w:val="619"/>
        <w:jc w:val="center"/>
      </w:pPr>
      <w:r>
        <w:rPr>
          <w:sz w:val="24"/>
        </w:rPr>
        <w:t xml:space="preserve">от 29 июня 2020 г. N 451</w:t>
      </w:r>
      <w:r/>
    </w:p>
    <w:p>
      <w:pPr>
        <w:pStyle w:val="619"/>
        <w:jc w:val="center"/>
      </w:pPr>
      <w:r>
        <w:rPr>
          <w:sz w:val="24"/>
        </w:rPr>
      </w:r>
      <w:r/>
    </w:p>
    <w:p>
      <w:pPr>
        <w:pStyle w:val="619"/>
        <w:jc w:val="center"/>
      </w:pPr>
      <w:r>
        <w:rPr>
          <w:sz w:val="24"/>
        </w:rPr>
        <w:t xml:space="preserve">ОБ УТВЕРЖДЕНИИ ПОРЯДКА ПРЕДОСТАВЛЕНИЯ СУБСИДИИ ИЗ ОБЛАСТНОГО</w:t>
      </w:r>
      <w:r/>
    </w:p>
    <w:p>
      <w:pPr>
        <w:pStyle w:val="619"/>
        <w:jc w:val="center"/>
      </w:pPr>
      <w:r>
        <w:rPr>
          <w:sz w:val="24"/>
        </w:rPr>
        <w:t xml:space="preserve">БЮДЖЕТА ЛЕНИНГРАДСКОЙ ОБЛАСТИ СОЦИАЛЬНО ОРИЕНТИРОВАННЫМ</w:t>
      </w:r>
      <w:r/>
    </w:p>
    <w:p>
      <w:pPr>
        <w:pStyle w:val="619"/>
        <w:jc w:val="center"/>
      </w:pPr>
      <w:r>
        <w:rPr>
          <w:sz w:val="24"/>
        </w:rPr>
        <w:t xml:space="preserve">НЕКОММЕРЧЕСКИМ ОРГАНИЗАЦИЯМ ЛЕНИНГРАДСКОЙ ОБЛАСТИ,</w:t>
      </w:r>
      <w:r/>
    </w:p>
    <w:p>
      <w:pPr>
        <w:pStyle w:val="619"/>
        <w:jc w:val="center"/>
      </w:pPr>
      <w:r>
        <w:rPr>
          <w:sz w:val="24"/>
        </w:rPr>
        <w:t xml:space="preserve">ОСУЩЕСТВЛЯЮЩИМ ДЕЯТЕЛЬНОСТЬ В СФЕРЕ СОЦИАЛЬНОЙ ПОДДЕРЖКИ</w:t>
      </w:r>
      <w:r/>
    </w:p>
    <w:p>
      <w:pPr>
        <w:pStyle w:val="619"/>
        <w:jc w:val="center"/>
      </w:pPr>
      <w:r>
        <w:rPr>
          <w:sz w:val="24"/>
        </w:rPr>
        <w:t xml:space="preserve">И ЗАЩИТЫ ВЕТЕРАНОВ, "СЕРЕБРЯНЫХ" ВОЛОНТЕРОВ, ИНВАЛИДОВ,</w:t>
      </w:r>
      <w:r/>
    </w:p>
    <w:p>
      <w:pPr>
        <w:pStyle w:val="619"/>
        <w:jc w:val="center"/>
      </w:pPr>
      <w:r>
        <w:rPr>
          <w:sz w:val="24"/>
        </w:rPr>
        <w:t xml:space="preserve">В РАМКАХ ГОСУДАРСТВЕННОЙ ПРОГРАММЫ ЛЕНИНГРАДСКОЙ ОБЛАСТИ</w:t>
      </w:r>
      <w:r/>
    </w:p>
    <w:p>
      <w:pPr>
        <w:pStyle w:val="619"/>
        <w:jc w:val="center"/>
      </w:pPr>
      <w:r>
        <w:rPr>
          <w:sz w:val="24"/>
        </w:rPr>
        <w:t xml:space="preserve">"УСТОЙЧИВОЕ ОБЩЕСТВЕННОЕ РАЗВИТИЕ В ЛЕНИНГРАДСКОЙ ОБЛАСТИ"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617"/>
              <w:jc w:val="center"/>
            </w:pPr>
            <w:r>
              <w:rPr>
                <w:color w:val="392c69"/>
                <w:sz w:val="24"/>
              </w:rPr>
              <w:t xml:space="preserve">Список изменяющих документов</w:t>
            </w:r>
            <w:r/>
          </w:p>
          <w:p>
            <w:pPr>
              <w:pStyle w:val="617"/>
              <w:jc w:val="center"/>
            </w:pPr>
            <w:r>
              <w:rPr>
                <w:color w:val="392c69"/>
                <w:sz w:val="24"/>
              </w:rPr>
              <w:t xml:space="preserve">(в ред. Постановлений Правительства Ленинградской области</w:t>
            </w:r>
            <w:r/>
          </w:p>
          <w:p>
            <w:pPr>
              <w:pStyle w:val="617"/>
              <w:jc w:val="center"/>
            </w:pPr>
            <w:r>
              <w:rPr>
                <w:color w:val="392c69"/>
                <w:sz w:val="24"/>
              </w:rPr>
              <w:t xml:space="preserve">от 26.01.2021 </w:t>
            </w:r>
            <w:hyperlink r:id="rId8" w:tooltip="Постановление Правительства Ленинградской области от 26.01.2021 N 33 (ред. от 07.12.2022) &quot;О внесении изменений в отдельные постановления Правительства Ленинградской области&quot; {КонсультантПлюс}" w:history="1">
              <w:r>
                <w:rPr>
                  <w:color w:val="0000ff"/>
                  <w:sz w:val="24"/>
                </w:rPr>
                <w:t xml:space="preserve">N 33</w:t>
              </w:r>
            </w:hyperlink>
            <w:r>
              <w:rPr>
                <w:color w:val="392c69"/>
                <w:sz w:val="24"/>
              </w:rPr>
              <w:t xml:space="preserve">, от 28.05.2021 </w:t>
            </w:r>
            <w:hyperlink r:id="rId9" w:tooltip="Постановление Правительства Ленинградской области от 28.05.2021 N 312 &quot;О внесении изменений в постановление Правительства Ленинградской области от 29 июня 2020 года N 451 &quot;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в рамках государственной программы Ленинградской области &quot;Устойчивое общес {КонсультантПлюс}" w:history="1">
              <w:r>
                <w:rPr>
                  <w:color w:val="0000ff"/>
                  <w:sz w:val="24"/>
                </w:rPr>
                <w:t xml:space="preserve">N 312</w:t>
              </w:r>
            </w:hyperlink>
            <w:r>
              <w:rPr>
                <w:color w:val="392c69"/>
                <w:sz w:val="24"/>
              </w:rPr>
              <w:t xml:space="preserve">, от 24.12.2021 </w:t>
            </w:r>
            <w:hyperlink r:id="rId10" w:tooltip="Постановление Правительства Ленинградской области от 24.12.2021 N 869 &quot;О внесении изменений в постановление Правительства Ленинградской области от 29 июня 2020 года N 451 &quot;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в рамках государственной программы Ленинградской области &quot;Устойчивое общес {КонсультантПлюс}" w:history="1">
              <w:r>
                <w:rPr>
                  <w:color w:val="0000ff"/>
                  <w:sz w:val="24"/>
                </w:rPr>
                <w:t xml:space="preserve">N 869</w:t>
              </w:r>
            </w:hyperlink>
            <w:r>
              <w:rPr>
                <w:color w:val="392c69"/>
                <w:sz w:val="24"/>
              </w:rPr>
              <w:t xml:space="preserve">,</w:t>
            </w:r>
            <w:r/>
          </w:p>
          <w:p>
            <w:pPr>
              <w:pStyle w:val="617"/>
              <w:jc w:val="center"/>
            </w:pPr>
            <w:r>
              <w:rPr>
                <w:color w:val="392c69"/>
                <w:sz w:val="24"/>
              </w:rPr>
              <w:t xml:space="preserve">от 29.09.2022 </w:t>
            </w:r>
            <w:hyperlink r:id="rId11" w:tooltip="Постановление Правительства Ленинградской области от 29.09.2022 N 704 &quot;О внесении изменений в постановление Правительства Ленинградской области от 29 июня 2020 года N 451 &quot;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в рамках государственной программы Ленинградской области &quot;Устойчивое общес {КонсультантПлюс}" w:history="1">
              <w:r>
                <w:rPr>
                  <w:color w:val="0000ff"/>
                  <w:sz w:val="24"/>
                </w:rPr>
                <w:t xml:space="preserve">N 704</w:t>
              </w:r>
            </w:hyperlink>
            <w:r>
              <w:rPr>
                <w:color w:val="392c69"/>
                <w:sz w:val="24"/>
              </w:rPr>
              <w:t xml:space="preserve">, от 11.05.2023 </w:t>
            </w:r>
            <w:hyperlink r:id="rId12" w:tooltip="Постановление Правительства Ленинградской области от 11.05.2023 N 303 &quot;О внесении изменений в постановление Правительства Ленинградской области от 29 июня 2020 года N 451 &quot;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 {КонсультантПлюс}" w:history="1">
              <w:r>
                <w:rPr>
                  <w:color w:val="0000ff"/>
                  <w:sz w:val="24"/>
                </w:rPr>
                <w:t xml:space="preserve">N 303</w:t>
              </w:r>
            </w:hyperlink>
            <w:r>
              <w:rPr>
                <w:color w:val="392c69"/>
                <w:sz w:val="24"/>
              </w:rPr>
              <w:t xml:space="preserve">, от 22.05.2024 </w:t>
            </w:r>
            <w:hyperlink r:id="rId13" w:tooltip="Постановление Правительства Ленинградской области от 22.05.2024 N 322 (ред. от 17.12.2024) &quot;О внесении изменений в постановление Правительства Ленинградской области от 29 июня 2020 года N 451 &quot;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 {КонсультантПлюс}" w:history="1">
              <w:r>
                <w:rPr>
                  <w:color w:val="0000ff"/>
                  <w:sz w:val="24"/>
                </w:rPr>
                <w:t xml:space="preserve">N 322</w:t>
              </w:r>
            </w:hyperlink>
            <w:r>
              <w:rPr>
                <w:color w:val="392c69"/>
                <w:sz w:val="24"/>
              </w:rPr>
              <w:t xml:space="preserve">,</w:t>
            </w:r>
            <w:r/>
          </w:p>
          <w:p>
            <w:pPr>
              <w:pStyle w:val="617"/>
              <w:jc w:val="center"/>
            </w:pPr>
            <w:r>
              <w:rPr>
                <w:color w:val="392c69"/>
                <w:sz w:val="24"/>
              </w:rPr>
              <w:t xml:space="preserve">от 17.12.2024 </w:t>
            </w:r>
            <w:hyperlink r:id="rId14" w:tooltip="Постановление Правительства Ленинградской области от 17.12.2024 N 924 &quot;О внесении изменений в отдельные постановления Правительства Ленинградской области&quot; {КонсультантПлюс}" w:history="1">
              <w:r>
                <w:rPr>
                  <w:color w:val="0000ff"/>
                  <w:sz w:val="24"/>
                </w:rPr>
                <w:t xml:space="preserve">N 924</w:t>
              </w:r>
            </w:hyperlink>
            <w:r>
              <w:rPr>
                <w:color w:val="392c69"/>
                <w:sz w:val="24"/>
              </w:rPr>
              <w:t xml:space="preserve">, от 30.12.2025 </w:t>
            </w:r>
            <w:hyperlink r:id="rId15"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N 1129</w:t>
              </w:r>
            </w:hyperlink>
            <w:r>
              <w:rPr>
                <w:color w:val="392c69"/>
                <w:sz w:val="24"/>
              </w:rPr>
              <w:t xml:space="preserve">, от 27.04.2026 </w:t>
            </w:r>
            <w:hyperlink r:id="rId16" w:tooltip="Постановление Правительства Ленинградской области от 27.04.2026 N 353 &quot;О внесении изменений в отдельные постановления Правительства Ленинградской области&quot; {КонсультантПлюс}" w:history="1">
              <w:r>
                <w:rPr>
                  <w:color w:val="0000ff"/>
                  <w:sz w:val="24"/>
                </w:rPr>
                <w:t xml:space="preserve">N 353</w:t>
              </w:r>
            </w:hyperlink>
            <w:r>
              <w:rPr>
                <w:color w:val="392c69"/>
                <w:sz w:val="24"/>
              </w:rPr>
              <w:t xml:space="preserve">,</w:t>
            </w:r>
            <w:r/>
          </w:p>
          <w:p>
            <w:pPr>
              <w:pStyle w:val="617"/>
              <w:jc w:val="center"/>
            </w:pPr>
            <w:r>
              <w:rPr>
                <w:color w:val="392c69"/>
                <w:sz w:val="24"/>
              </w:rPr>
              <w:t xml:space="preserve">от 26.08.2026 </w:t>
            </w:r>
            <w:hyperlink r:id="rId17"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N 682</w:t>
              </w:r>
            </w:hyperlink>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617"/>
        <w:ind w:firstLine="540"/>
        <w:jc w:val="both"/>
      </w:pPr>
      <w:r>
        <w:rPr>
          <w:sz w:val="24"/>
        </w:rPr>
      </w:r>
      <w:r/>
    </w:p>
    <w:p>
      <w:pPr>
        <w:pStyle w:val="617"/>
        <w:ind w:firstLine="540"/>
        <w:jc w:val="both"/>
      </w:pPr>
      <w:r>
        <w:rPr>
          <w:sz w:val="24"/>
        </w:rPr>
        <w:t xml:space="preserve">В соответствии с </w:t>
      </w:r>
      <w:hyperlink r:id="rId18" w:tooltip="&quot;Бюджетный кодекс Российской Федерации&quot; от 31.07.1998 N 145-ФЗ (ред. от 26.06.2026) (с изм. и доп., вступ. в силу с 01.09.2026) {КонсультантПлюс}" w:history="1">
        <w:r>
          <w:rPr>
            <w:color w:val="0000ff"/>
            <w:sz w:val="24"/>
          </w:rPr>
          <w:t xml:space="preserve">пунктом 2 статьи 78.1</w:t>
        </w:r>
      </w:hyperlink>
      <w:r>
        <w:rPr>
          <w:sz w:val="24"/>
        </w:rPr>
        <w:t xml:space="preserve"> Бюджетного кодекса Российской Федерации, </w:t>
      </w:r>
      <w:hyperlink r:id="rId19" w:tooltip="Постановление Правительства РФ от 25.10.2023 N 1782 (ред. от 01.09.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history="1">
        <w:r>
          <w:rPr>
            <w:color w:val="0000ff"/>
            <w:sz w:val="24"/>
          </w:rPr>
          <w:t xml:space="preserve">постановлением</w:t>
        </w:r>
      </w:hyperlink>
      <w:r>
        <w:rPr>
          <w:sz w:val="24"/>
        </w:rPr>
        <w:t xml:space="preserve"> Правительства Российской Федерации от 25 октября 2023 года N 1782 "Об утверждении общих требований к нормативным правовым актам, муниципальным правовым актам, регулирующим предоставление из бюджетов субъектов Ро</w:t>
      </w:r>
      <w:r>
        <w:rPr>
          <w:sz w:val="24"/>
        </w:rPr>
        <w:t xml:space="preserve">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областным </w:t>
      </w:r>
      <w:hyperlink r:id="rId20" w:tooltip="Областной закон Ленинградской области от 29.06.2012 N 52-оз (ред. от 09.07.2026) &quot;О государственной поддержке социально ориентированных некоммерческих организаций в Ленинградской области&quot; (принят ЗС ЛО 20.06.2012) {КонсультантПлюс}" w:history="1">
        <w:r>
          <w:rPr>
            <w:color w:val="0000ff"/>
            <w:sz w:val="24"/>
          </w:rPr>
          <w:t xml:space="preserve">законом</w:t>
        </w:r>
      </w:hyperlink>
      <w:r>
        <w:rPr>
          <w:sz w:val="24"/>
        </w:rPr>
        <w:t xml:space="preserve"> от 29 июня 2012 года N 52-оз "О государственной поддержке социально ориентированных некоммерческих организаций в Ленинградской области", в целях реализации государственной </w:t>
      </w:r>
      <w:hyperlink r:id="rId21" w:tooltip="Постановление Правительства Ленинградской области от 14.11.2013 N 399 (ред. от 18.06.2026) &quot;Об утверждении государственной программы Ленинградской области &quot;Устойчивое общественное развитие в Ленинградской области&quot; {КонсультантПлюс}" w:history="1">
        <w:r>
          <w:rPr>
            <w:color w:val="0000ff"/>
            <w:sz w:val="24"/>
          </w:rPr>
          <w:t xml:space="preserve">программы</w:t>
        </w:r>
      </w:hyperlink>
      <w:r>
        <w:rPr>
          <w:sz w:val="24"/>
        </w:rPr>
        <w:t xml:space="preserve"> Ленинградской области "Устойчивое общественное развитие в Ленин</w:t>
      </w:r>
      <w:r>
        <w:rPr>
          <w:sz w:val="24"/>
        </w:rPr>
        <w:t xml:space="preserve">градской области", утвержденной постановлением Правительства Ленинградской области от 14 ноября 2013 года N 399, и повышения эффективности предоставления субсидий из областного бюджета Ленинградской области Правительство Ленинградской области постановляет:</w:t>
      </w:r>
      <w:r/>
    </w:p>
    <w:p>
      <w:pPr>
        <w:pStyle w:val="617"/>
        <w:jc w:val="both"/>
      </w:pPr>
      <w:r>
        <w:rPr>
          <w:sz w:val="24"/>
        </w:rPr>
        <w:t xml:space="preserve">(в ред. Постановлений Правительства Ленинградской области от 22.05.2024 </w:t>
      </w:r>
      <w:hyperlink r:id="rId22" w:tooltip="Постановление Правительства Ленинградской области от 22.05.2024 N 322 (ред. от 17.12.2024) &quot;О внесении изменений в постановление Правительства Ленинградской области от 29 июня 2020 года N 451 &quot;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 {КонсультантПлюс}" w:history="1">
        <w:r>
          <w:rPr>
            <w:color w:val="0000ff"/>
            <w:sz w:val="24"/>
          </w:rPr>
          <w:t xml:space="preserve">N 322</w:t>
        </w:r>
      </w:hyperlink>
      <w:r>
        <w:rPr>
          <w:sz w:val="24"/>
        </w:rPr>
        <w:t xml:space="preserve">, от 27.04.2026 </w:t>
      </w:r>
      <w:hyperlink r:id="rId23" w:tooltip="Постановление Правительства Ленинградской области от 27.04.2026 N 353 &quot;О внесении изменений в отдельные постановления Правительства Ленинградской области&quot; {КонсультантПлюс}" w:history="1">
        <w:r>
          <w:rPr>
            <w:color w:val="0000ff"/>
            <w:sz w:val="24"/>
          </w:rPr>
          <w:t xml:space="preserve">N 353</w:t>
        </w:r>
      </w:hyperlink>
      <w:r>
        <w:rPr>
          <w:sz w:val="24"/>
        </w:rPr>
        <w:t xml:space="preserve">)</w:t>
      </w:r>
      <w:r/>
    </w:p>
    <w:p>
      <w:pPr>
        <w:pStyle w:val="617"/>
        <w:ind w:firstLine="540"/>
        <w:jc w:val="both"/>
      </w:pPr>
      <w:r>
        <w:rPr>
          <w:sz w:val="24"/>
        </w:rPr>
      </w:r>
      <w:r/>
    </w:p>
    <w:p>
      <w:pPr>
        <w:pStyle w:val="617"/>
        <w:ind w:firstLine="540"/>
        <w:jc w:val="both"/>
      </w:pPr>
      <w:r>
        <w:rPr>
          <w:sz w:val="24"/>
        </w:rPr>
        <w:t xml:space="preserve">1. Утвердить прилагаемый </w:t>
      </w:r>
      <w:hyperlink w:tooltip="ПОРЯДОК" w:anchor="P42" w:history="1">
        <w:r>
          <w:rPr>
            <w:color w:val="0000ff"/>
            <w:sz w:val="24"/>
          </w:rPr>
          <w:t xml:space="preserve">Порядок</w:t>
        </w:r>
      </w:hyperlink>
      <w:r>
        <w:rPr>
          <w:sz w:val="24"/>
        </w:rPr>
        <w:t xml:space="preserve"> предоставления субсидии из областного бюджета Ленинградской области социально ориентированным некоммерческим организац</w:t>
      </w:r>
      <w:r>
        <w:rPr>
          <w:sz w:val="24"/>
        </w:rPr>
        <w:t xml:space="preserve">иям Ленинградской области, осуществляющим деятельность в сфере социальной поддержки и защиты ветеранов, "серебряных" волонтеров, инвалидов, в рамках государственной программы Ленинградской области "Устойчивое общественное развитие в Ленинградской области".</w:t>
      </w:r>
      <w:r/>
    </w:p>
    <w:p>
      <w:pPr>
        <w:pStyle w:val="617"/>
        <w:jc w:val="both"/>
      </w:pPr>
      <w:r>
        <w:rPr>
          <w:sz w:val="24"/>
        </w:rPr>
        <w:t xml:space="preserve">(в ред. Постановлений Правительства Ленинградской области от 29.09.2022 </w:t>
      </w:r>
      <w:hyperlink r:id="rId24" w:tooltip="Постановление Правительства Ленинградской области от 29.09.2022 N 704 &quot;О внесении изменений в постановление Правительства Ленинградской области от 29 июня 2020 года N 451 &quot;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в рамках государственной программы Ленинградской области &quot;Устойчивое общес {КонсультантПлюс}" w:history="1">
        <w:r>
          <w:rPr>
            <w:color w:val="0000ff"/>
            <w:sz w:val="24"/>
          </w:rPr>
          <w:t xml:space="preserve">N 704</w:t>
        </w:r>
      </w:hyperlink>
      <w:r>
        <w:rPr>
          <w:sz w:val="24"/>
        </w:rPr>
        <w:t xml:space="preserve">, от 22.05.2024 </w:t>
      </w:r>
      <w:hyperlink r:id="rId25" w:tooltip="Постановление Правительства Ленинградской области от 22.05.2024 N 322 (ред. от 17.12.2024) &quot;О внесении изменений в постановление Правительства Ленинградской области от 29 июня 2020 года N 451 &quot;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 {КонсультантПлюс}" w:history="1">
        <w:r>
          <w:rPr>
            <w:color w:val="0000ff"/>
            <w:sz w:val="24"/>
          </w:rPr>
          <w:t xml:space="preserve">N 322</w:t>
        </w:r>
      </w:hyperlink>
      <w:r>
        <w:rPr>
          <w:sz w:val="24"/>
        </w:rPr>
        <w:t xml:space="preserve">, от 30.12.2025 </w:t>
      </w:r>
      <w:hyperlink r:id="rId26"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N 1129</w:t>
        </w:r>
      </w:hyperlink>
      <w:r>
        <w:rPr>
          <w:sz w:val="24"/>
        </w:rPr>
        <w:t xml:space="preserve">)</w:t>
      </w:r>
      <w:r/>
    </w:p>
    <w:p>
      <w:pPr>
        <w:pStyle w:val="617"/>
        <w:ind w:firstLine="540"/>
        <w:jc w:val="both"/>
        <w:spacing w:before="240"/>
      </w:pPr>
      <w:r>
        <w:rPr>
          <w:sz w:val="24"/>
        </w:rPr>
        <w:t xml:space="preserve">2. Контроль за исполнением постановления оставляю за собой.</w:t>
      </w:r>
      <w:r/>
    </w:p>
    <w:p>
      <w:pPr>
        <w:pStyle w:val="617"/>
        <w:jc w:val="both"/>
      </w:pPr>
      <w:r>
        <w:rPr>
          <w:sz w:val="24"/>
        </w:rPr>
        <w:t xml:space="preserve">(п. 2 в ред. </w:t>
      </w:r>
      <w:hyperlink r:id="rId27" w:tooltip="Постановление Правительства Ленинградской области от 11.05.2023 N 303 &quot;О внесении изменений в постановление Правительства Ленинградской области от 29 июня 2020 года N 451 &quot;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 {КонсультантПлюс}" w:history="1">
        <w:r>
          <w:rPr>
            <w:color w:val="0000ff"/>
            <w:sz w:val="24"/>
          </w:rPr>
          <w:t xml:space="preserve">Постановления</w:t>
        </w:r>
      </w:hyperlink>
      <w:r>
        <w:rPr>
          <w:sz w:val="24"/>
        </w:rPr>
        <w:t xml:space="preserve"> Правительства Ленинградской области от 11.05.2023 N 303)</w:t>
      </w:r>
      <w:r/>
    </w:p>
    <w:p>
      <w:pPr>
        <w:pStyle w:val="617"/>
        <w:ind w:firstLine="540"/>
        <w:jc w:val="both"/>
        <w:spacing w:before="240"/>
      </w:pPr>
      <w:r>
        <w:rPr>
          <w:sz w:val="24"/>
        </w:rPr>
        <w:t xml:space="preserve">3. Настоящее постановление вступает в силу с даты его официального опубликования.</w:t>
      </w:r>
      <w:r/>
    </w:p>
    <w:p>
      <w:pPr>
        <w:pStyle w:val="617"/>
        <w:ind w:firstLine="540"/>
        <w:jc w:val="both"/>
      </w:pPr>
      <w:r>
        <w:rPr>
          <w:sz w:val="24"/>
        </w:rPr>
      </w:r>
      <w:r/>
    </w:p>
    <w:p>
      <w:pPr>
        <w:jc w:val="right"/>
      </w:pPr>
      <w:r>
        <w:rPr>
          <w:sz w:val="24"/>
          <w:highlight w:val="none"/>
        </w:rPr>
      </w:r>
      <w:r>
        <w:rPr>
          <w:sz w:val="24"/>
          <w:highlight w:val="none"/>
        </w:rPr>
      </w:r>
    </w:p>
    <w:p>
      <w:pPr>
        <w:pStyle w:val="617"/>
        <w:jc w:val="right"/>
        <w:rPr>
          <w:sz w:val="24"/>
          <w:szCs w:val="24"/>
          <w:highlight w:val="none"/>
        </w:rPr>
      </w:pPr>
      <w:r>
        <w:rPr>
          <w:sz w:val="24"/>
        </w:rPr>
        <w:t xml:space="preserve">Губернатор</w:t>
      </w:r>
      <w:r/>
    </w:p>
    <w:p>
      <w:pPr>
        <w:pStyle w:val="617"/>
        <w:jc w:val="right"/>
      </w:pPr>
      <w:r>
        <w:rPr>
          <w:sz w:val="24"/>
        </w:rPr>
        <w:t xml:space="preserve">Ленинградской области</w:t>
      </w:r>
      <w:r/>
    </w:p>
    <w:p>
      <w:pPr>
        <w:pStyle w:val="617"/>
        <w:jc w:val="right"/>
      </w:pPr>
      <w:r>
        <w:rPr>
          <w:sz w:val="24"/>
        </w:rPr>
        <w:t xml:space="preserve">А.Дрозденко</w:t>
      </w:r>
      <w:r/>
    </w:p>
    <w:p>
      <w:pPr>
        <w:pStyle w:val="617"/>
        <w:jc w:val="right"/>
      </w:pPr>
      <w:r>
        <w:rPr>
          <w:sz w:val="24"/>
        </w:rPr>
      </w:r>
      <w:r/>
    </w:p>
    <w:p>
      <w:pPr>
        <w:pStyle w:val="617"/>
        <w:jc w:val="right"/>
      </w:pPr>
      <w:r>
        <w:rPr>
          <w:sz w:val="24"/>
        </w:rPr>
      </w:r>
      <w:r/>
    </w:p>
    <w:p>
      <w:pPr>
        <w:pStyle w:val="617"/>
        <w:jc w:val="right"/>
      </w:pPr>
      <w:r>
        <w:rPr>
          <w:sz w:val="24"/>
        </w:rPr>
      </w:r>
      <w:r/>
    </w:p>
    <w:p>
      <w:pPr>
        <w:pStyle w:val="617"/>
        <w:jc w:val="right"/>
      </w:pPr>
      <w:r>
        <w:rPr>
          <w:sz w:val="24"/>
        </w:rPr>
      </w:r>
      <w:r/>
    </w:p>
    <w:p>
      <w:pPr>
        <w:pStyle w:val="617"/>
        <w:jc w:val="right"/>
      </w:pPr>
      <w:r>
        <w:rPr>
          <w:sz w:val="24"/>
        </w:rPr>
      </w:r>
      <w:r/>
    </w:p>
    <w:p>
      <w:pPr>
        <w:pStyle w:val="617"/>
        <w:jc w:val="right"/>
        <w:outlineLvl w:val="0"/>
      </w:pPr>
      <w:r>
        <w:rPr>
          <w:sz w:val="24"/>
        </w:rPr>
        <w:t xml:space="preserve">УТВЕРЖДЕН</w:t>
      </w:r>
      <w:r/>
    </w:p>
    <w:p>
      <w:pPr>
        <w:pStyle w:val="617"/>
        <w:jc w:val="right"/>
      </w:pPr>
      <w:r>
        <w:rPr>
          <w:sz w:val="24"/>
        </w:rPr>
        <w:t xml:space="preserve">постановлением Правительства</w:t>
      </w:r>
      <w:r/>
    </w:p>
    <w:p>
      <w:pPr>
        <w:pStyle w:val="617"/>
        <w:jc w:val="right"/>
      </w:pPr>
      <w:r>
        <w:rPr>
          <w:sz w:val="24"/>
        </w:rPr>
        <w:t xml:space="preserve">Ленинградской области</w:t>
      </w:r>
      <w:r/>
    </w:p>
    <w:p>
      <w:pPr>
        <w:pStyle w:val="617"/>
        <w:jc w:val="right"/>
      </w:pPr>
      <w:r>
        <w:rPr>
          <w:sz w:val="24"/>
        </w:rPr>
        <w:t xml:space="preserve">от 29.06.2020 N 451</w:t>
      </w:r>
      <w:r/>
    </w:p>
    <w:p>
      <w:pPr>
        <w:pStyle w:val="617"/>
        <w:jc w:val="right"/>
      </w:pPr>
      <w:r>
        <w:rPr>
          <w:sz w:val="24"/>
        </w:rPr>
        <w:t xml:space="preserve">(приложение)</w:t>
      </w:r>
      <w:r/>
    </w:p>
    <w:p>
      <w:pPr>
        <w:pStyle w:val="617"/>
        <w:ind w:firstLine="540"/>
        <w:jc w:val="both"/>
      </w:pPr>
      <w:r>
        <w:rPr>
          <w:sz w:val="24"/>
        </w:rPr>
      </w:r>
      <w:r/>
    </w:p>
    <w:p>
      <w:pPr>
        <w:pStyle w:val="619"/>
        <w:jc w:val="center"/>
      </w:pPr>
      <w:r/>
      <w:bookmarkStart w:id="42" w:name="P42"/>
      <w:r/>
      <w:bookmarkEnd w:id="42"/>
      <w:r>
        <w:rPr>
          <w:sz w:val="24"/>
        </w:rPr>
        <w:t xml:space="preserve">ПОРЯДОК</w:t>
      </w:r>
      <w:r/>
    </w:p>
    <w:p>
      <w:pPr>
        <w:pStyle w:val="619"/>
        <w:jc w:val="center"/>
      </w:pPr>
      <w:r>
        <w:rPr>
          <w:sz w:val="24"/>
        </w:rPr>
        <w:t xml:space="preserve">ПРЕДОСТАВЛЕНИЯ СУБСИДИИ ИЗ ОБЛАСТНОГО БЮДЖЕТА</w:t>
      </w:r>
      <w:r/>
    </w:p>
    <w:p>
      <w:pPr>
        <w:pStyle w:val="619"/>
        <w:jc w:val="center"/>
      </w:pPr>
      <w:r>
        <w:rPr>
          <w:sz w:val="24"/>
        </w:rPr>
        <w:t xml:space="preserve">ЛЕНИНГРАДСКОЙ ОБЛАСТИ СОЦИАЛЬНО ОРИЕНТИРОВАННЫМ</w:t>
      </w:r>
      <w:r/>
    </w:p>
    <w:p>
      <w:pPr>
        <w:pStyle w:val="619"/>
        <w:jc w:val="center"/>
      </w:pPr>
      <w:r>
        <w:rPr>
          <w:sz w:val="24"/>
        </w:rPr>
        <w:t xml:space="preserve">НЕКОММЕРЧЕСКИМ ОРГАНИЗАЦИЯМ ЛЕНИНГРАДСКОЙ ОБЛАСТИ,</w:t>
      </w:r>
      <w:r/>
    </w:p>
    <w:p>
      <w:pPr>
        <w:pStyle w:val="619"/>
        <w:jc w:val="center"/>
      </w:pPr>
      <w:r>
        <w:rPr>
          <w:sz w:val="24"/>
        </w:rPr>
        <w:t xml:space="preserve">ОСУЩЕСТВЛЯЮЩИМ ДЕЯТЕЛЬНОСТЬ В СФЕРЕ СОЦИАЛЬНОЙ ПОДДЕРЖКИ</w:t>
      </w:r>
      <w:r/>
    </w:p>
    <w:p>
      <w:pPr>
        <w:pStyle w:val="619"/>
        <w:jc w:val="center"/>
      </w:pPr>
      <w:r>
        <w:rPr>
          <w:sz w:val="24"/>
        </w:rPr>
        <w:t xml:space="preserve">И ЗАЩИТЫ ВЕТЕРАНОВ, "СЕРЕБРЯНЫХ" ВОЛОНТЕРОВ, ИНВАЛИДОВ,</w:t>
      </w:r>
      <w:r/>
    </w:p>
    <w:p>
      <w:pPr>
        <w:pStyle w:val="619"/>
        <w:jc w:val="center"/>
      </w:pPr>
      <w:r>
        <w:rPr>
          <w:sz w:val="24"/>
        </w:rPr>
        <w:t xml:space="preserve">В РАМКАХ ГОСУДАРСТВЕННОЙ ПРОГРАММЫ ЛЕНИНГРАДСКОЙ ОБЛАСТИ</w:t>
      </w:r>
      <w:r/>
    </w:p>
    <w:p>
      <w:pPr>
        <w:pStyle w:val="619"/>
        <w:jc w:val="center"/>
      </w:pPr>
      <w:r>
        <w:rPr>
          <w:sz w:val="24"/>
        </w:rPr>
        <w:t xml:space="preserve">"УСТОЙЧИВОЕ ОБЩЕСТВЕННОЕ РАЗВИТИЕ В ЛЕНИНГРАДСКОЙ ОБЛАСТИ"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617"/>
              <w:jc w:val="center"/>
            </w:pPr>
            <w:r>
              <w:rPr>
                <w:color w:val="392c69"/>
                <w:sz w:val="24"/>
              </w:rPr>
              <w:t xml:space="preserve">Список изменяющих документов</w:t>
            </w:r>
            <w:r/>
          </w:p>
          <w:p>
            <w:pPr>
              <w:pStyle w:val="617"/>
              <w:jc w:val="center"/>
            </w:pPr>
            <w:r>
              <w:rPr>
                <w:color w:val="392c69"/>
                <w:sz w:val="24"/>
              </w:rPr>
              <w:t xml:space="preserve">(в ред. Постановлений Правительства Ленинградской области</w:t>
            </w:r>
            <w:r/>
          </w:p>
          <w:p>
            <w:pPr>
              <w:pStyle w:val="617"/>
              <w:jc w:val="center"/>
            </w:pPr>
            <w:r>
              <w:rPr>
                <w:color w:val="392c69"/>
                <w:sz w:val="24"/>
              </w:rPr>
              <w:t xml:space="preserve">от 22.05.2024 </w:t>
            </w:r>
            <w:hyperlink r:id="rId28" w:tooltip="Постановление Правительства Ленинградской области от 22.05.2024 N 322 (ред. от 17.12.2024) &quot;О внесении изменений в постановление Правительства Ленинградской области от 29 июня 2020 года N 451 &quot;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 {КонсультантПлюс}" w:history="1">
              <w:r>
                <w:rPr>
                  <w:color w:val="0000ff"/>
                  <w:sz w:val="24"/>
                </w:rPr>
                <w:t xml:space="preserve">N 322</w:t>
              </w:r>
            </w:hyperlink>
            <w:r>
              <w:rPr>
                <w:color w:val="392c69"/>
                <w:sz w:val="24"/>
              </w:rPr>
              <w:t xml:space="preserve">, от 17.12.2024 </w:t>
            </w:r>
            <w:hyperlink r:id="rId29" w:tooltip="Постановление Правительства Ленинградской области от 17.12.2024 N 924 &quot;О внесении изменений в отдельные постановления Правительства Ленинградской области&quot; {КонсультантПлюс}" w:history="1">
              <w:r>
                <w:rPr>
                  <w:color w:val="0000ff"/>
                  <w:sz w:val="24"/>
                </w:rPr>
                <w:t xml:space="preserve">N 924</w:t>
              </w:r>
            </w:hyperlink>
            <w:r>
              <w:rPr>
                <w:color w:val="392c69"/>
                <w:sz w:val="24"/>
              </w:rPr>
              <w:t xml:space="preserve">, от 30.12.2025 </w:t>
            </w:r>
            <w:hyperlink r:id="rId30"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N 1129</w:t>
              </w:r>
            </w:hyperlink>
            <w:r>
              <w:rPr>
                <w:color w:val="392c69"/>
                <w:sz w:val="24"/>
              </w:rPr>
              <w:t xml:space="preserve">,</w:t>
            </w:r>
            <w:r/>
          </w:p>
          <w:p>
            <w:pPr>
              <w:pStyle w:val="617"/>
              <w:jc w:val="center"/>
            </w:pPr>
            <w:r>
              <w:rPr>
                <w:color w:val="392c69"/>
                <w:sz w:val="24"/>
              </w:rPr>
              <w:t xml:space="preserve">от 27.04.2026 </w:t>
            </w:r>
            <w:hyperlink r:id="rId31" w:tooltip="Постановление Правительства Ленинградской области от 27.04.2026 N 353 &quot;О внесении изменений в отдельные постановления Правительства Ленинградской области&quot; {КонсультантПлюс}" w:history="1">
              <w:r>
                <w:rPr>
                  <w:color w:val="0000ff"/>
                  <w:sz w:val="24"/>
                </w:rPr>
                <w:t xml:space="preserve">N 353</w:t>
              </w:r>
            </w:hyperlink>
            <w:r>
              <w:rPr>
                <w:color w:val="392c69"/>
                <w:sz w:val="24"/>
              </w:rPr>
              <w:t xml:space="preserve">, от 26.08.2026 </w:t>
            </w:r>
            <w:hyperlink r:id="rId32"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N 682</w:t>
              </w:r>
            </w:hyperlink>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617"/>
        <w:jc w:val="center"/>
      </w:pPr>
      <w:r>
        <w:rPr>
          <w:sz w:val="24"/>
        </w:rPr>
      </w:r>
      <w:r/>
    </w:p>
    <w:p>
      <w:pPr>
        <w:pStyle w:val="619"/>
        <w:jc w:val="center"/>
        <w:outlineLvl w:val="1"/>
      </w:pPr>
      <w:r>
        <w:rPr>
          <w:sz w:val="24"/>
        </w:rPr>
        <w:t xml:space="preserve">1. Общие положения</w:t>
      </w:r>
      <w:r/>
    </w:p>
    <w:p>
      <w:pPr>
        <w:pStyle w:val="617"/>
        <w:jc w:val="center"/>
      </w:pPr>
      <w:r>
        <w:rPr>
          <w:sz w:val="24"/>
        </w:rPr>
      </w:r>
      <w:r/>
    </w:p>
    <w:p>
      <w:pPr>
        <w:pStyle w:val="617"/>
        <w:ind w:firstLine="540"/>
        <w:jc w:val="both"/>
      </w:pPr>
      <w:r>
        <w:rPr>
          <w:sz w:val="24"/>
        </w:rPr>
        <w:t xml:space="preserve">1.</w:t>
      </w:r>
      <w:r>
        <w:rPr>
          <w:sz w:val="24"/>
        </w:rPr>
        <w:t xml:space="preserve">1. Настоящим Порядком устанавливаются условия и порядок предоставления субсидии из областного бюджета Ленинградской области (далее - областной бюджет) социально ориентированным некоммерческим организациям Ленинградской области (далее - СО НКО, организация)</w:t>
      </w:r>
      <w:r>
        <w:rPr>
          <w:sz w:val="24"/>
        </w:rPr>
        <w:t xml:space="preserve">, осуществляющим деятельность в сфере социальной поддержки и защиты ветеранов, "серебряных" волонтеров и(или) инвалидов, в рамках государственной программы Ленинградской области "Устойчивое общественное развитие в Ленинградской области" (далее - субсидия).</w:t>
      </w:r>
      <w:r/>
    </w:p>
    <w:p>
      <w:pPr>
        <w:pStyle w:val="617"/>
        <w:jc w:val="both"/>
      </w:pPr>
      <w:r>
        <w:rPr>
          <w:sz w:val="24"/>
        </w:rPr>
        <w:t xml:space="preserve">(п. 1.1 в ред. </w:t>
      </w:r>
      <w:hyperlink r:id="rId33"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Постановления</w:t>
        </w:r>
      </w:hyperlink>
      <w:r>
        <w:rPr>
          <w:sz w:val="24"/>
        </w:rPr>
        <w:t xml:space="preserve"> Правительства Ленинградской области от 30.12.2025 N 1129)</w:t>
      </w:r>
      <w:r/>
    </w:p>
    <w:p>
      <w:pPr>
        <w:pStyle w:val="617"/>
        <w:ind w:firstLine="540"/>
        <w:jc w:val="both"/>
        <w:spacing w:before="240"/>
      </w:pPr>
      <w:r>
        <w:rPr>
          <w:sz w:val="24"/>
        </w:rPr>
        <w:t xml:space="preserve">1.2. Субсидия предоставляется в соответствии со сводной бюджетной росписью областного бюджета в пределах бюджетных</w:t>
      </w:r>
      <w:r>
        <w:rPr>
          <w:sz w:val="24"/>
        </w:rPr>
        <w:t xml:space="preserve"> ассигнований и лимитов бюджетных обязательств, утвержденных на соответствующий финансовый год и на плановый период главному распорядителю бюджетных средств - Комитету общественных коммуникаций Ленинградской области (далее - Комитет), на цели, указанные в </w:t>
      </w:r>
      <w:hyperlink w:tooltip="1.4. Субсидия предоставляется в целях развития институтов гражданского общества, оказания социальной поддержки и защиты ветеранов, &quot;серебряных&quot; волонтеров и(или) инвалидов в рамках государственной программы Ленинградской области &quot;Устойчивое общественное развитие в Ленинградской области&quot;." w:anchor="P74" w:history="1">
        <w:r>
          <w:rPr>
            <w:color w:val="0000ff"/>
            <w:sz w:val="24"/>
          </w:rPr>
          <w:t xml:space="preserve">пункте 1.4</w:t>
        </w:r>
      </w:hyperlink>
      <w:r>
        <w:rPr>
          <w:sz w:val="24"/>
        </w:rPr>
        <w:t xml:space="preserve"> настоящего Порядка.</w:t>
      </w:r>
      <w:r/>
    </w:p>
    <w:p>
      <w:pPr>
        <w:pStyle w:val="617"/>
        <w:ind w:firstLine="540"/>
        <w:jc w:val="both"/>
        <w:spacing w:before="240"/>
      </w:pPr>
      <w:r>
        <w:rPr>
          <w:sz w:val="24"/>
        </w:rPr>
        <w:t xml:space="preserve">1.3. Понятия, используемые для целей настоящего Порядка:</w:t>
      </w:r>
      <w:r/>
    </w:p>
    <w:p>
      <w:pPr>
        <w:pStyle w:val="617"/>
        <w:ind w:firstLine="540"/>
        <w:jc w:val="both"/>
        <w:spacing w:before="240"/>
      </w:pPr>
      <w:r>
        <w:rPr>
          <w:sz w:val="24"/>
        </w:rPr>
        <w:t xml:space="preserve">Экспертный совет (Совет) - совещательный коллегиальный орган, создаваемый Комитетом для участия в проведении отбора в соответствии с </w:t>
      </w:r>
      <w:hyperlink w:tooltip="2.15. В целях определения состава экспертов для экспертизы заявок по направлению проекта, указанному в объявлении, формирования рейтинга заявок, а также определения проходного среднего балла по заявкам Комитетом создается Совет." w:anchor="P222" w:history="1">
        <w:r>
          <w:rPr>
            <w:color w:val="0000ff"/>
            <w:sz w:val="24"/>
          </w:rPr>
          <w:t xml:space="preserve">пунктом 2.15</w:t>
        </w:r>
      </w:hyperlink>
      <w:r>
        <w:rPr>
          <w:sz w:val="24"/>
        </w:rPr>
        <w:t xml:space="preserve"> настоящего Порядка;</w:t>
      </w:r>
      <w:r/>
    </w:p>
    <w:p>
      <w:pPr>
        <w:pStyle w:val="617"/>
        <w:ind w:firstLine="540"/>
        <w:jc w:val="both"/>
        <w:spacing w:before="240"/>
      </w:pPr>
      <w:r>
        <w:rPr>
          <w:sz w:val="24"/>
        </w:rPr>
        <w:t xml:space="preserve">заявка - заявка, представленная СО НКО для участия в отборе;</w:t>
      </w:r>
      <w:r/>
    </w:p>
    <w:p>
      <w:pPr>
        <w:pStyle w:val="617"/>
        <w:ind w:firstLine="540"/>
        <w:jc w:val="both"/>
        <w:spacing w:before="240"/>
      </w:pPr>
      <w:r>
        <w:rPr>
          <w:sz w:val="24"/>
        </w:rPr>
        <w:t xml:space="preserve">участник отбора - СО НКО, представившая заявку для участия в отборе;</w:t>
      </w:r>
      <w:r/>
    </w:p>
    <w:p>
      <w:pPr>
        <w:pStyle w:val="617"/>
        <w:ind w:firstLine="540"/>
        <w:jc w:val="both"/>
        <w:spacing w:before="240"/>
      </w:pPr>
      <w:r>
        <w:rPr>
          <w:sz w:val="24"/>
        </w:rPr>
        <w:t xml:space="preserve">отбор - отбор получателей субсидии на конкурентной основе на основании критериев оценки заявок об участии в отборе (далее - критерии оценки заявок), осуществляемый по направлениям предоставления субсидий, установленным в соответствии с </w:t>
      </w:r>
      <w:hyperlink w:tooltip="2.1. Комитет осуществляет предоставление субсидии на реализацию СО НКО проектов по следующим направлениям:" w:anchor="P106" w:history="1">
        <w:r>
          <w:rPr>
            <w:color w:val="0000ff"/>
            <w:sz w:val="24"/>
          </w:rPr>
          <w:t xml:space="preserve">пунктом 2.1</w:t>
        </w:r>
      </w:hyperlink>
      <w:r>
        <w:rPr>
          <w:sz w:val="24"/>
        </w:rPr>
        <w:t xml:space="preserve"> настоящего Порядка;</w:t>
      </w:r>
      <w:r/>
    </w:p>
    <w:p>
      <w:pPr>
        <w:pStyle w:val="617"/>
        <w:ind w:firstLine="540"/>
        <w:jc w:val="both"/>
        <w:spacing w:before="240"/>
      </w:pPr>
      <w:r>
        <w:rPr>
          <w:sz w:val="24"/>
        </w:rPr>
        <w:t xml:space="preserve">получатель субсидии - участник отбора, признанный победителем отбора в соответствии с </w:t>
      </w:r>
      <w:hyperlink w:tooltip="2.23. В срок не позднее 10 календарных дней с даты проведения заседания Совета, указанного в пункте 2.22 настоящего Порядка, на основании рекомендаций, указанных в протоколе Совета, Комитет проводит оценку заявок, принимает на основании результатов оценки заявок решение о присвоении заявкам порядковых номеров и принимает с учетом оснований, указанных в пункте 2.24 настоящего Порядка, решение о предоставлении либо об отказе в предоставлении субсидии, которое оформляется правовым актом Комитета и в течение..." w:anchor="P257" w:history="1">
        <w:r>
          <w:rPr>
            <w:color w:val="0000ff"/>
            <w:sz w:val="24"/>
          </w:rPr>
          <w:t xml:space="preserve">пунктом 2.23</w:t>
        </w:r>
      </w:hyperlink>
      <w:r>
        <w:rPr>
          <w:sz w:val="24"/>
        </w:rPr>
        <w:t xml:space="preserve"> настоящего Порядка;</w:t>
      </w:r>
      <w:r/>
    </w:p>
    <w:p>
      <w:pPr>
        <w:pStyle w:val="617"/>
        <w:ind w:firstLine="540"/>
        <w:jc w:val="both"/>
        <w:spacing w:before="240"/>
      </w:pPr>
      <w:r>
        <w:rPr>
          <w:sz w:val="24"/>
        </w:rPr>
        <w:t xml:space="preserve">проект - разработанный СО НКО комплекс взаимосвязанных социально значимых мероприятий, н</w:t>
      </w:r>
      <w:r>
        <w:rPr>
          <w:sz w:val="24"/>
        </w:rPr>
        <w:t xml:space="preserve">аправленных на социальную поддержку и защиту ветеранов, "серебряных" волонтеров и(или) инвалидов, представленный в составе заявки для участия в отборе, со сроком реализации, установленным правовым актом Комитета о проведении отбора, но не более 24 месяцев;</w:t>
      </w:r>
      <w:r/>
    </w:p>
    <w:p>
      <w:pPr>
        <w:pStyle w:val="617"/>
        <w:ind w:firstLine="540"/>
        <w:jc w:val="both"/>
        <w:spacing w:before="240"/>
      </w:pPr>
      <w:r>
        <w:rPr>
          <w:sz w:val="24"/>
        </w:rPr>
        <w:t xml:space="preserve">"серебряные" волонтеры - лица пенсионного возраста (пенсионеры), осуществляющие добровольческую (волонтерскую) деятельность;</w:t>
      </w:r>
      <w:r/>
    </w:p>
    <w:p>
      <w:pPr>
        <w:pStyle w:val="617"/>
        <w:ind w:firstLine="540"/>
        <w:jc w:val="both"/>
        <w:spacing w:before="240"/>
      </w:pPr>
      <w:r>
        <w:rPr>
          <w:sz w:val="24"/>
        </w:rPr>
        <w:t xml:space="preserve">софинансирование - вклад СО НКО и(или) третьих лиц в реализацию проекта. В состав софинансирования (при его наличии) включаются: денежные средства СО НКО, денежный эквивалент других ресурсов, которые есть в наличии у СО НКО, в том</w:t>
      </w:r>
      <w:r>
        <w:rPr>
          <w:sz w:val="24"/>
        </w:rPr>
        <w:t xml:space="preserve"> числе помещение, оборудование, программное обеспечение, денежный эквивалент труда специалистов/волонтеров, привлеченные денежные средства третьих лиц, денежный эквивалент ресурсов и услуг, которые предоставлены СО НКО третьими лицами на бесплатной основе;</w:t>
      </w:r>
      <w:r/>
    </w:p>
    <w:p>
      <w:pPr>
        <w:pStyle w:val="617"/>
        <w:ind w:firstLine="540"/>
        <w:jc w:val="both"/>
        <w:spacing w:before="240"/>
      </w:pPr>
      <w:r>
        <w:rPr>
          <w:sz w:val="24"/>
        </w:rPr>
        <w:t xml:space="preserve">эксперты </w:t>
      </w:r>
      <w:r>
        <w:rPr>
          <w:sz w:val="24"/>
        </w:rPr>
        <w:t xml:space="preserve">- лица, определенные Советом для экспертизы заявок на основании предложений Комитета, основанных на рекомендациях отраслевых органов исполнительной власти Ленинградской области, органов местного самоуправления Ленинградской области, экспертного сообщества;</w:t>
      </w:r>
      <w:r/>
    </w:p>
    <w:p>
      <w:pPr>
        <w:pStyle w:val="617"/>
        <w:ind w:firstLine="540"/>
        <w:jc w:val="both"/>
        <w:spacing w:before="240"/>
      </w:pPr>
      <w:r>
        <w:rPr>
          <w:sz w:val="24"/>
        </w:rPr>
        <w:t xml:space="preserve">благополучатели - лица или группа лиц, в интересах которых осуществляется деятельность по проекту;</w:t>
      </w:r>
      <w:r/>
    </w:p>
    <w:p>
      <w:pPr>
        <w:pStyle w:val="617"/>
        <w:ind w:firstLine="540"/>
        <w:jc w:val="both"/>
        <w:spacing w:before="240"/>
      </w:pPr>
      <w:r>
        <w:rPr>
          <w:sz w:val="24"/>
        </w:rPr>
        <w:t xml:space="preserve">партнер проекта - лицо, оказавшее СО НКО поддержку в реализации проекта (финансовую, имущественную, информационную, консультационную или иную).</w:t>
      </w:r>
      <w:r/>
    </w:p>
    <w:p>
      <w:pPr>
        <w:pStyle w:val="617"/>
        <w:ind w:firstLine="540"/>
        <w:jc w:val="both"/>
        <w:spacing w:before="240"/>
      </w:pPr>
      <w:r>
        <w:rPr>
          <w:sz w:val="24"/>
        </w:rPr>
        <w:t xml:space="preserve">Иные понятия и термины, используемые в настоящем Порядке, применяются в значениях, определенных действующим законодательством Российской Федерации.</w:t>
      </w:r>
      <w:r/>
    </w:p>
    <w:p>
      <w:pPr>
        <w:pStyle w:val="617"/>
        <w:jc w:val="both"/>
      </w:pPr>
      <w:r>
        <w:rPr>
          <w:sz w:val="24"/>
        </w:rPr>
        <w:t xml:space="preserve">(п. 1.3 в ред. </w:t>
      </w:r>
      <w:hyperlink r:id="rId34"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Постановления</w:t>
        </w:r>
      </w:hyperlink>
      <w:r>
        <w:rPr>
          <w:sz w:val="24"/>
        </w:rPr>
        <w:t xml:space="preserve"> Правительства Ленинградской области от 30.12.2025 N 1129)</w:t>
      </w:r>
      <w:r/>
    </w:p>
    <w:p>
      <w:pPr>
        <w:pStyle w:val="617"/>
        <w:ind w:firstLine="540"/>
        <w:jc w:val="both"/>
        <w:spacing w:before="240"/>
      </w:pPr>
      <w:r/>
      <w:bookmarkStart w:id="74" w:name="P74"/>
      <w:r/>
      <w:bookmarkEnd w:id="74"/>
      <w:r>
        <w:rPr>
          <w:sz w:val="24"/>
        </w:rPr>
        <w:t xml:space="preserve">1.4. Субсидия предоставляется в </w:t>
      </w:r>
      <w:r>
        <w:rPr>
          <w:sz w:val="24"/>
        </w:rPr>
        <w:t xml:space="preserve">целях развития институтов гражданского общества, оказания социальной поддержки и защиты ветеранов, "серебряных" волонтеров и(или) инвалидов в рамках государственной программы Ленинградской области "Устойчивое общественное развитие в Ленинградской области".</w:t>
      </w:r>
      <w:r/>
    </w:p>
    <w:p>
      <w:pPr>
        <w:pStyle w:val="617"/>
        <w:jc w:val="both"/>
      </w:pPr>
      <w:r>
        <w:rPr>
          <w:sz w:val="24"/>
        </w:rPr>
        <w:t xml:space="preserve">(п. 1.4 в ред. </w:t>
      </w:r>
      <w:hyperlink r:id="rId35"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Постановления</w:t>
        </w:r>
      </w:hyperlink>
      <w:r>
        <w:rPr>
          <w:sz w:val="24"/>
        </w:rPr>
        <w:t xml:space="preserve"> Правительства Ленинградской области от 30.12.2025 N 1129)</w:t>
      </w:r>
      <w:r/>
    </w:p>
    <w:p>
      <w:pPr>
        <w:pStyle w:val="617"/>
        <w:ind w:firstLine="540"/>
        <w:jc w:val="both"/>
        <w:spacing w:before="240"/>
      </w:pPr>
      <w:r/>
      <w:bookmarkStart w:id="76" w:name="P76"/>
      <w:r/>
      <w:bookmarkEnd w:id="76"/>
      <w:r>
        <w:rPr>
          <w:sz w:val="24"/>
        </w:rPr>
        <w:t xml:space="preserve">1.5. Субсидия предоставляется СО НКО на финансовое обеспечение затрат, связанных с реализацией проекта в рамках государственной программы Ленинградской области "Устойчивое общественное развитие в Ленинградской области", по следующим направлениям расходов:</w:t>
      </w:r>
      <w:r/>
    </w:p>
    <w:p>
      <w:pPr>
        <w:pStyle w:val="617"/>
        <w:ind w:firstLine="540"/>
        <w:jc w:val="both"/>
        <w:spacing w:before="240"/>
      </w:pPr>
      <w:r>
        <w:rPr>
          <w:sz w:val="24"/>
        </w:rPr>
        <w:t xml:space="preserve">оплата труда: оплата труда штатных работников, включая налог на доходы физических лиц; страховые взносы (начисления на оплату труда) в государственные внебюджетные фонды за штатны</w:t>
      </w:r>
      <w:r>
        <w:rPr>
          <w:sz w:val="24"/>
        </w:rPr>
        <w:t xml:space="preserve">х работников; оплата труда лиц, привлекаемых по гражданско-правовым договорам, включая налог на доходы физических лиц; страховые взносы (начисления на оплату труда) в государственные внебюджетные фонды за лиц, привлекаемых по гражданско-правовым договорам;</w:t>
      </w:r>
      <w:r/>
    </w:p>
    <w:p>
      <w:pPr>
        <w:pStyle w:val="617"/>
        <w:ind w:firstLine="540"/>
        <w:jc w:val="both"/>
        <w:spacing w:before="240"/>
      </w:pPr>
      <w:r>
        <w:rPr>
          <w:sz w:val="24"/>
        </w:rPr>
        <w:t xml:space="preserve">административные расходы: аренда помещения; оплата коммунальных услуг; приобретение канцелярских товаров и расходных материалов; банковское обслуживание; оплата услуг связи (телефон, доступ в информационно-телекоммуникационную </w:t>
      </w:r>
      <w:r>
        <w:rPr>
          <w:sz w:val="24"/>
        </w:rPr>
        <w:t xml:space="preserve">сеть "Интернет" (далее - сеть "Интернет"); приобретение компьютерного оборудования, офисной мебели, оргтехники, иных технических устройств; приобретение лицензионного программного обеспечения (расходы, связанные с получением прав по лицензионному соглашени</w:t>
      </w:r>
      <w:r>
        <w:rPr>
          <w:sz w:val="24"/>
        </w:rPr>
        <w:t xml:space="preserve">ю); расходы по адаптации, настройке, внедрению и модификации для нужд конкретной организации программного обеспечения; расходы по сопровождению программного обеспечения; подписка на периодические и справочные издания, связанные с деятельностью организации;</w:t>
      </w:r>
      <w:r/>
    </w:p>
    <w:p>
      <w:pPr>
        <w:pStyle w:val="617"/>
        <w:jc w:val="both"/>
      </w:pPr>
      <w:r>
        <w:rPr>
          <w:sz w:val="24"/>
        </w:rPr>
        <w:t xml:space="preserve">(в ред. </w:t>
      </w:r>
      <w:hyperlink r:id="rId36" w:tooltip="Постановление Правительства Ленинградской области от 27.04.2026 N 353 &quot;О внесении изменений в отдельные постановления Правительства Ленинградской области&quot; {КонсультантПлюс}" w:history="1">
        <w:r>
          <w:rPr>
            <w:color w:val="0000ff"/>
            <w:sz w:val="24"/>
          </w:rPr>
          <w:t xml:space="preserve">Постановления</w:t>
        </w:r>
      </w:hyperlink>
      <w:r>
        <w:rPr>
          <w:sz w:val="24"/>
        </w:rPr>
        <w:t xml:space="preserve"> Правительства Ленинградской области от 27.04.2026 N 353)</w:t>
      </w:r>
      <w:r/>
    </w:p>
    <w:p>
      <w:pPr>
        <w:pStyle w:val="617"/>
        <w:ind w:firstLine="540"/>
        <w:jc w:val="both"/>
        <w:spacing w:before="240"/>
      </w:pPr>
      <w:r>
        <w:rPr>
          <w:sz w:val="24"/>
        </w:rPr>
        <w:t xml:space="preserve">организационные расходы: организация публичных и дистанционных мероприятий; питание и проживание участников мероприятий; издательско-полиграфические услуги; подарочная, сувенирная и наградная п</w:t>
      </w:r>
      <w:r>
        <w:rPr>
          <w:sz w:val="24"/>
        </w:rPr>
        <w:t xml:space="preserve">родукция, приобретение (изготовление) венков, цветов в целях возложения к памятникам и(или) памятным знакам; транспортные расходы; командировочные расходы; рекламные услуги; услуги по освещению мероприятий в средствах массовой информации, социальных сетях.</w:t>
      </w:r>
      <w:r/>
    </w:p>
    <w:p>
      <w:pPr>
        <w:pStyle w:val="617"/>
        <w:jc w:val="both"/>
      </w:pPr>
      <w:r>
        <w:rPr>
          <w:sz w:val="24"/>
        </w:rPr>
        <w:t xml:space="preserve">(в ред. </w:t>
      </w:r>
      <w:hyperlink r:id="rId37" w:tooltip="Постановление Правительства Ленинградской области от 27.04.2026 N 353 &quot;О внесении изменений в отдельные постановления Правительства Ленинградской области&quot; {КонсультантПлюс}" w:history="1">
        <w:r>
          <w:rPr>
            <w:color w:val="0000ff"/>
            <w:sz w:val="24"/>
          </w:rPr>
          <w:t xml:space="preserve">Постановления</w:t>
        </w:r>
      </w:hyperlink>
      <w:r>
        <w:rPr>
          <w:sz w:val="24"/>
        </w:rPr>
        <w:t xml:space="preserve"> Правительства Ленинградской области от 27.04.2026 N 353)</w:t>
      </w:r>
      <w:r/>
    </w:p>
    <w:p>
      <w:pPr>
        <w:pStyle w:val="617"/>
        <w:ind w:firstLine="540"/>
        <w:jc w:val="both"/>
        <w:spacing w:before="240"/>
      </w:pPr>
      <w:r/>
      <w:bookmarkStart w:id="82" w:name="P82"/>
      <w:r/>
      <w:bookmarkEnd w:id="82"/>
      <w:r>
        <w:rPr>
          <w:sz w:val="24"/>
        </w:rPr>
        <w:t xml:space="preserve">1.6. Субсидия не может быть направлена на:</w:t>
      </w:r>
      <w:r/>
    </w:p>
    <w:p>
      <w:pPr>
        <w:pStyle w:val="617"/>
        <w:ind w:firstLine="540"/>
        <w:jc w:val="both"/>
        <w:spacing w:before="240"/>
      </w:pPr>
      <w:r>
        <w:rPr>
          <w:sz w:val="24"/>
        </w:rPr>
        <w:t xml:space="preserve">приобретение недвижимого имущества (в том числе земельных участков);</w:t>
      </w:r>
      <w:r/>
    </w:p>
    <w:p>
      <w:pPr>
        <w:pStyle w:val="617"/>
        <w:ind w:firstLine="540"/>
        <w:jc w:val="both"/>
        <w:spacing w:before="240"/>
      </w:pPr>
      <w:r>
        <w:rPr>
          <w:sz w:val="24"/>
        </w:rPr>
        <w:t xml:space="preserve">возведение объектов капитального строительства;</w:t>
      </w:r>
      <w:r/>
    </w:p>
    <w:p>
      <w:pPr>
        <w:pStyle w:val="617"/>
        <w:ind w:firstLine="540"/>
        <w:jc w:val="both"/>
        <w:spacing w:before="240"/>
      </w:pPr>
      <w:r>
        <w:rPr>
          <w:sz w:val="24"/>
        </w:rPr>
        <w:t xml:space="preserve">приобретение алкогольной и табачной продукции, а также предметов роскоши;</w:t>
      </w:r>
      <w:r/>
    </w:p>
    <w:p>
      <w:pPr>
        <w:pStyle w:val="617"/>
        <w:ind w:firstLine="540"/>
        <w:jc w:val="both"/>
        <w:spacing w:before="240"/>
      </w:pPr>
      <w:r>
        <w:rPr>
          <w:sz w:val="24"/>
        </w:rPr>
        <w:t xml:space="preserve">финансирование политических партий, кампаний и акций, подготовку и проведение митингов, демонстраций и пикетирований;</w:t>
      </w:r>
      <w:r/>
    </w:p>
    <w:p>
      <w:pPr>
        <w:pStyle w:val="617"/>
        <w:ind w:firstLine="540"/>
        <w:jc w:val="both"/>
        <w:spacing w:before="240"/>
      </w:pPr>
      <w:r>
        <w:rPr>
          <w:sz w:val="24"/>
        </w:rPr>
        <w:t xml:space="preserve">погашение задолженности организации;</w:t>
      </w:r>
      <w:r/>
    </w:p>
    <w:p>
      <w:pPr>
        <w:pStyle w:val="617"/>
        <w:ind w:firstLine="540"/>
        <w:jc w:val="both"/>
        <w:spacing w:before="240"/>
      </w:pPr>
      <w:r>
        <w:rPr>
          <w:sz w:val="24"/>
        </w:rPr>
        <w:t xml:space="preserve">уплату штрафов и пеней;</w:t>
      </w:r>
      <w:r/>
    </w:p>
    <w:p>
      <w:pPr>
        <w:pStyle w:val="617"/>
        <w:ind w:firstLine="540"/>
        <w:jc w:val="both"/>
        <w:spacing w:before="240"/>
      </w:pPr>
      <w:r>
        <w:rPr>
          <w:sz w:val="24"/>
        </w:rPr>
        <w:t xml:space="preserve">приобретение получателем субсидии, </w:t>
      </w:r>
      <w:r>
        <w:rPr>
          <w:sz w:val="24"/>
        </w:rPr>
        <w:t xml:space="preserve">а также иными юридическими лицами, получающими средства на основании договоров, заключенных с получателями субсидий, за счет средств, полученных из областного бюджета, иностранной валюты, за исключением операций, осуществляемых в соответствии с валютным за</w:t>
      </w:r>
      <w:r>
        <w:rPr>
          <w:sz w:val="24"/>
        </w:rPr>
        <w:t xml:space="preserve">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w:t>
      </w:r>
      <w:r/>
    </w:p>
    <w:p>
      <w:pPr>
        <w:pStyle w:val="617"/>
        <w:ind w:firstLine="540"/>
        <w:jc w:val="both"/>
        <w:spacing w:before="240"/>
      </w:pPr>
      <w:r>
        <w:rPr>
          <w:sz w:val="24"/>
        </w:rPr>
        <w:t xml:space="preserve">расходы, не связанные непосредственно с реализацией проекта.</w:t>
      </w:r>
      <w:r/>
    </w:p>
    <w:p>
      <w:pPr>
        <w:pStyle w:val="617"/>
        <w:ind w:firstLine="540"/>
        <w:jc w:val="both"/>
        <w:spacing w:before="240"/>
      </w:pPr>
      <w:r/>
      <w:bookmarkStart w:id="91" w:name="P91"/>
      <w:r/>
      <w:bookmarkEnd w:id="91"/>
      <w:r>
        <w:rPr>
          <w:sz w:val="24"/>
        </w:rPr>
        <w:t xml:space="preserve">1.7. К кате</w:t>
      </w:r>
      <w:r>
        <w:rPr>
          <w:sz w:val="24"/>
        </w:rPr>
        <w:t xml:space="preserve">гории получателей субсидии относятся СО НКО, зарегистрированные в качестве российского юридического лица на территории Ленинградской области в порядке, установленном законодательством Российской Федерации, и соответствующие одновременно следующим условиям:</w:t>
      </w:r>
      <w:r/>
    </w:p>
    <w:p>
      <w:pPr>
        <w:pStyle w:val="617"/>
        <w:ind w:firstLine="540"/>
        <w:jc w:val="both"/>
        <w:spacing w:before="240"/>
      </w:pPr>
      <w:r>
        <w:rPr>
          <w:sz w:val="24"/>
        </w:rPr>
        <w:t xml:space="preserve">осуществляют деятельность, направленную на социальную поддержку и защиту ветеранов, пенсионеров и(или) инвалидов;</w:t>
      </w:r>
      <w:r/>
    </w:p>
    <w:p>
      <w:pPr>
        <w:pStyle w:val="617"/>
        <w:ind w:firstLine="540"/>
        <w:jc w:val="both"/>
        <w:spacing w:before="240"/>
      </w:pPr>
      <w:r>
        <w:rPr>
          <w:sz w:val="24"/>
        </w:rPr>
        <w:t xml:space="preserve">деятельность СО НКО осуществляется на территории Ленинградской области;</w:t>
      </w:r>
      <w:r/>
    </w:p>
    <w:p>
      <w:pPr>
        <w:pStyle w:val="617"/>
        <w:ind w:firstLine="540"/>
        <w:jc w:val="both"/>
        <w:spacing w:before="240"/>
      </w:pPr>
      <w:r>
        <w:rPr>
          <w:sz w:val="24"/>
        </w:rPr>
        <w:t xml:space="preserve">не имеют учредителя, являющегося государственным органом, органом местного самоуправления или публично-правовым образованием.</w:t>
      </w:r>
      <w:r/>
    </w:p>
    <w:p>
      <w:pPr>
        <w:pStyle w:val="617"/>
        <w:jc w:val="both"/>
      </w:pPr>
      <w:r>
        <w:rPr>
          <w:sz w:val="24"/>
        </w:rPr>
        <w:t xml:space="preserve">(п. 1.7 в ред. </w:t>
      </w:r>
      <w:hyperlink r:id="rId38"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Постановления</w:t>
        </w:r>
      </w:hyperlink>
      <w:r>
        <w:rPr>
          <w:sz w:val="24"/>
        </w:rPr>
        <w:t xml:space="preserve"> Правительства Ленинградской области от 30.12.2025 N 1129)</w:t>
      </w:r>
      <w:r/>
    </w:p>
    <w:p>
      <w:pPr>
        <w:pStyle w:val="617"/>
        <w:ind w:firstLine="540"/>
        <w:jc w:val="both"/>
        <w:spacing w:before="240"/>
      </w:pPr>
      <w:r>
        <w:rPr>
          <w:sz w:val="24"/>
        </w:rPr>
        <w:t xml:space="preserve">1.8. Получатели субсидии определяются по результатам отбора. Способом проведения отбора является конкурс.</w:t>
      </w:r>
      <w:r/>
    </w:p>
    <w:p>
      <w:pPr>
        <w:pStyle w:val="617"/>
        <w:jc w:val="both"/>
      </w:pPr>
      <w:r>
        <w:rPr>
          <w:sz w:val="24"/>
        </w:rPr>
        <w:t xml:space="preserve">(п. 1.8 в ред. </w:t>
      </w:r>
      <w:hyperlink r:id="rId39"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Постановления</w:t>
        </w:r>
      </w:hyperlink>
      <w:r>
        <w:rPr>
          <w:sz w:val="24"/>
        </w:rPr>
        <w:t xml:space="preserve"> Правительства Ленинградской области от 30.12.2025 N 1129)</w:t>
      </w:r>
      <w:r/>
    </w:p>
    <w:p>
      <w:pPr>
        <w:pStyle w:val="617"/>
        <w:ind w:firstLine="540"/>
        <w:jc w:val="both"/>
        <w:spacing w:before="240"/>
      </w:pPr>
      <w:r>
        <w:rPr>
          <w:sz w:val="24"/>
        </w:rPr>
        <w:t xml:space="preserve">1.9. Сведения о субсидиях размещаются на едином портале бюджетной системы Российской Федерации в сети "Интернет" (далее - единый портал) </w:t>
      </w:r>
      <w:r>
        <w:rPr>
          <w:sz w:val="24"/>
        </w:rPr>
        <w:t xml:space="preserve">(в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 и на официальном сайте Комитета.</w:t>
      </w:r>
      <w:r/>
    </w:p>
    <w:p>
      <w:pPr>
        <w:pStyle w:val="617"/>
        <w:jc w:val="both"/>
      </w:pPr>
      <w:r>
        <w:rPr>
          <w:sz w:val="24"/>
        </w:rPr>
        <w:t xml:space="preserve">(в ред. </w:t>
      </w:r>
      <w:hyperlink r:id="rId40" w:tooltip="Постановление Правительства Ленинградской области от 27.04.2026 N 353 &quot;О внесении изменений в отдельные постановления Правительства Ленинградской области&quot; {КонсультантПлюс}" w:history="1">
        <w:r>
          <w:rPr>
            <w:color w:val="0000ff"/>
            <w:sz w:val="24"/>
          </w:rPr>
          <w:t xml:space="preserve">Постановления</w:t>
        </w:r>
      </w:hyperlink>
      <w:r>
        <w:rPr>
          <w:sz w:val="24"/>
        </w:rPr>
        <w:t xml:space="preserve"> Правительства Ленинградской области от 27.04.2026 N 353)</w:t>
      </w:r>
      <w:r/>
    </w:p>
    <w:p>
      <w:pPr>
        <w:pStyle w:val="617"/>
        <w:jc w:val="center"/>
      </w:pPr>
      <w:r>
        <w:rPr>
          <w:sz w:val="24"/>
        </w:rPr>
      </w:r>
      <w:r/>
    </w:p>
    <w:p>
      <w:pPr>
        <w:pStyle w:val="619"/>
        <w:jc w:val="center"/>
        <w:outlineLvl w:val="1"/>
      </w:pPr>
      <w:r>
        <w:rPr>
          <w:sz w:val="24"/>
        </w:rPr>
        <w:t xml:space="preserve">2. Порядок проведения отбора для предоставления субсидии</w:t>
      </w:r>
      <w:r/>
    </w:p>
    <w:p>
      <w:pPr>
        <w:pStyle w:val="617"/>
        <w:jc w:val="center"/>
      </w:pPr>
      <w:r>
        <w:rPr>
          <w:sz w:val="24"/>
        </w:rPr>
      </w:r>
      <w:r/>
    </w:p>
    <w:p>
      <w:pPr>
        <w:pStyle w:val="617"/>
        <w:jc w:val="center"/>
      </w:pPr>
      <w:r>
        <w:rPr>
          <w:sz w:val="24"/>
        </w:rPr>
        <w:t xml:space="preserve">(в ред. </w:t>
      </w:r>
      <w:hyperlink r:id="rId41"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Постановления</w:t>
        </w:r>
      </w:hyperlink>
      <w:r>
        <w:rPr>
          <w:sz w:val="24"/>
        </w:rPr>
        <w:t xml:space="preserve"> Правительства Ленинградской</w:t>
      </w:r>
      <w:r/>
    </w:p>
    <w:p>
      <w:pPr>
        <w:pStyle w:val="617"/>
        <w:jc w:val="center"/>
      </w:pPr>
      <w:r>
        <w:rPr>
          <w:sz w:val="24"/>
        </w:rPr>
        <w:t xml:space="preserve">области от 30.12.2025 N 1129)</w:t>
      </w:r>
      <w:r/>
    </w:p>
    <w:p>
      <w:pPr>
        <w:pStyle w:val="617"/>
        <w:ind w:firstLine="540"/>
        <w:jc w:val="both"/>
      </w:pPr>
      <w:r>
        <w:rPr>
          <w:sz w:val="24"/>
        </w:rPr>
      </w:r>
      <w:r/>
    </w:p>
    <w:p>
      <w:pPr>
        <w:pStyle w:val="617"/>
        <w:ind w:firstLine="540"/>
        <w:jc w:val="both"/>
      </w:pPr>
      <w:r/>
      <w:bookmarkStart w:id="106" w:name="P106"/>
      <w:r/>
      <w:bookmarkEnd w:id="106"/>
      <w:r>
        <w:rPr>
          <w:sz w:val="24"/>
        </w:rPr>
        <w:t xml:space="preserve">2.1. Комитет осуществляет предоставление субсидии на реализацию СО НКО проектов по следующим направлениям:</w:t>
      </w:r>
      <w:r/>
    </w:p>
    <w:p>
      <w:pPr>
        <w:pStyle w:val="617"/>
        <w:ind w:firstLine="540"/>
        <w:jc w:val="both"/>
        <w:spacing w:before="240"/>
      </w:pPr>
      <w:r/>
      <w:bookmarkStart w:id="107" w:name="P107"/>
      <w:r/>
      <w:bookmarkEnd w:id="107"/>
      <w:r>
        <w:rPr>
          <w:sz w:val="24"/>
        </w:rPr>
        <w:t xml:space="preserve">в сфере социальной поддержки и защиты ветеранов и "серебряных" волонтеров;</w:t>
      </w:r>
      <w:r/>
    </w:p>
    <w:p>
      <w:pPr>
        <w:pStyle w:val="617"/>
        <w:ind w:firstLine="540"/>
        <w:jc w:val="both"/>
        <w:spacing w:before="240"/>
      </w:pPr>
      <w:r/>
      <w:bookmarkStart w:id="108" w:name="P108"/>
      <w:r/>
      <w:bookmarkEnd w:id="108"/>
      <w:r>
        <w:rPr>
          <w:sz w:val="24"/>
        </w:rPr>
        <w:t xml:space="preserve">в сфере социальной поддержки и защиты инвалидов.</w:t>
      </w:r>
      <w:r/>
    </w:p>
    <w:p>
      <w:pPr>
        <w:pStyle w:val="617"/>
        <w:ind w:firstLine="540"/>
        <w:jc w:val="both"/>
        <w:spacing w:before="240"/>
      </w:pPr>
      <w:r>
        <w:rPr>
          <w:sz w:val="24"/>
        </w:rPr>
        <w:t xml:space="preserve">Решение о проведении отбора принимается Комитетом и оформляется правовым актом, который включает в себя информацию, указанную в </w:t>
      </w:r>
      <w:hyperlink w:tooltip="2.2. Комитет в срок не позднее чем за один рабочий день до даты начала подачи заявок размещает на едином портале, на официальном сайте Комитета и по адресу ленобласть.гранты.рф объявление о проведении отбора (далее - объявление) с указанием:" w:anchor="P110" w:history="1">
        <w:r>
          <w:rPr>
            <w:color w:val="0000ff"/>
            <w:sz w:val="24"/>
          </w:rPr>
          <w:t xml:space="preserve">пункте 2.2</w:t>
        </w:r>
      </w:hyperlink>
      <w:r>
        <w:rPr>
          <w:sz w:val="24"/>
        </w:rPr>
        <w:t xml:space="preserve"> настоящего Порядка.</w:t>
      </w:r>
      <w:r/>
    </w:p>
    <w:p>
      <w:pPr>
        <w:pStyle w:val="617"/>
        <w:ind w:firstLine="540"/>
        <w:jc w:val="both"/>
        <w:spacing w:before="240"/>
      </w:pPr>
      <w:r/>
      <w:bookmarkStart w:id="110" w:name="P110"/>
      <w:r/>
      <w:bookmarkEnd w:id="110"/>
      <w:r>
        <w:rPr>
          <w:sz w:val="24"/>
        </w:rPr>
        <w:t xml:space="preserve">2.2. Комитет в срок не позднее чем за один рабочий день до даты начала подачи заявок размещает на едином портале, на официальном сайте Комитета и по адресу </w:t>
      </w:r>
      <w:hyperlink r:id="rId42" w:tooltip="https://ленобласть.гранты.рф" w:history="1">
        <w:r>
          <w:rPr>
            <w:color w:val="0000ff"/>
            <w:sz w:val="24"/>
          </w:rPr>
          <w:t xml:space="preserve">ленобласть.гранты.рф</w:t>
        </w:r>
      </w:hyperlink>
      <w:r>
        <w:rPr>
          <w:sz w:val="24"/>
        </w:rPr>
        <w:t xml:space="preserve"> объявление о проведении отбора (далее - объявление) с указанием:</w:t>
      </w:r>
      <w:r/>
    </w:p>
    <w:p>
      <w:pPr>
        <w:pStyle w:val="617"/>
        <w:ind w:firstLine="540"/>
        <w:jc w:val="both"/>
        <w:spacing w:before="240"/>
      </w:pPr>
      <w:r>
        <w:rPr>
          <w:sz w:val="24"/>
        </w:rPr>
        <w:t xml:space="preserve">наименования, места нахождения, почтового адреса, адреса электронной почты Комитета;</w:t>
      </w:r>
      <w:r/>
    </w:p>
    <w:p>
      <w:pPr>
        <w:pStyle w:val="617"/>
        <w:ind w:firstLine="540"/>
        <w:jc w:val="both"/>
        <w:spacing w:before="240"/>
      </w:pPr>
      <w:r>
        <w:rPr>
          <w:sz w:val="24"/>
        </w:rPr>
        <w:t xml:space="preserve">срока проведения отбора;</w:t>
      </w:r>
      <w:r/>
    </w:p>
    <w:p>
      <w:pPr>
        <w:pStyle w:val="617"/>
        <w:ind w:firstLine="540"/>
        <w:jc w:val="both"/>
        <w:spacing w:before="240"/>
      </w:pPr>
      <w:r>
        <w:rPr>
          <w:sz w:val="24"/>
        </w:rPr>
        <w:t xml:space="preserve">даты начала подачи и окончания приема заявок участников отбора, при этом дата окончания приема заявок не может быть ранее 30-го календарного дня, следующего за днем размещения объявления;</w:t>
      </w:r>
      <w:r/>
    </w:p>
    <w:p>
      <w:pPr>
        <w:pStyle w:val="617"/>
        <w:ind w:firstLine="540"/>
        <w:jc w:val="both"/>
        <w:spacing w:before="240"/>
      </w:pPr>
      <w:r>
        <w:rPr>
          <w:sz w:val="24"/>
        </w:rPr>
        <w:t xml:space="preserve">результата предоставления субсидии в соответствии с </w:t>
      </w:r>
      <w:hyperlink w:tooltip="3.6. Результатом предоставления субсидии является реализация проекта в рамках предоставленной субсидии в целях развития гражданского общества Ленинградской области, оказания социальной поддержки и защиты ветеранов, &quot;серебряных&quot; волонтеров и(или) инвалидов." w:anchor="P324" w:history="1">
        <w:r>
          <w:rPr>
            <w:color w:val="0000ff"/>
            <w:sz w:val="24"/>
          </w:rPr>
          <w:t xml:space="preserve">пунктом 3.6</w:t>
        </w:r>
      </w:hyperlink>
      <w:r>
        <w:rPr>
          <w:sz w:val="24"/>
        </w:rPr>
        <w:t xml:space="preserve"> настоящего Порядка, а также характеристик результата предоставления субсидии (далее - характеристики результата) в соответствии с </w:t>
      </w:r>
      <w:hyperlink w:tooltip="3.7. Характеристиками результата являются:" w:anchor="P326" w:history="1">
        <w:r>
          <w:rPr>
            <w:color w:val="0000ff"/>
            <w:sz w:val="24"/>
          </w:rPr>
          <w:t xml:space="preserve">пунктом 3.7</w:t>
        </w:r>
      </w:hyperlink>
      <w:r>
        <w:rPr>
          <w:sz w:val="24"/>
        </w:rPr>
        <w:t xml:space="preserve"> настоящего Порядка;</w:t>
      </w:r>
      <w:r/>
    </w:p>
    <w:p>
      <w:pPr>
        <w:pStyle w:val="617"/>
        <w:ind w:firstLine="540"/>
        <w:jc w:val="both"/>
        <w:spacing w:before="240"/>
      </w:pPr>
      <w:r>
        <w:rPr>
          <w:sz w:val="24"/>
        </w:rPr>
        <w:t xml:space="preserve">доменного имени и(или) указателей страниц государственной информационной системы, обеспечивающей проведение отбора, в сети "Интернет";</w:t>
      </w:r>
      <w:r/>
    </w:p>
    <w:p>
      <w:pPr>
        <w:pStyle w:val="617"/>
        <w:ind w:firstLine="540"/>
        <w:jc w:val="both"/>
        <w:spacing w:before="240"/>
      </w:pPr>
      <w:r>
        <w:rPr>
          <w:sz w:val="24"/>
        </w:rPr>
        <w:t xml:space="preserve">требований, которым участник отбора должен соответствовать на даты, определенные в </w:t>
      </w:r>
      <w:hyperlink w:tooltip="2.4. К участию в отборе допускаются СО НКО, соответствующие категории получателей субсидии, установленной пунктом 1.7 настоящего Порядка, и соответствующие на даты рассмотрения заявок и заключения соглашения следующим требованиям:" w:anchor="P153" w:history="1">
        <w:r>
          <w:rPr>
            <w:color w:val="0000ff"/>
            <w:sz w:val="24"/>
          </w:rPr>
          <w:t xml:space="preserve">пункте 2.4</w:t>
        </w:r>
      </w:hyperlink>
      <w:r>
        <w:rPr>
          <w:sz w:val="24"/>
        </w:rPr>
        <w:t xml:space="preserve"> настоящего Порядка, и к перечню документов, представляемых участниками отбора для подтверждения их соответствия указанным требованиям;</w:t>
      </w:r>
      <w:r/>
    </w:p>
    <w:p>
      <w:pPr>
        <w:pStyle w:val="617"/>
        <w:ind w:firstLine="540"/>
        <w:jc w:val="both"/>
        <w:spacing w:before="240"/>
      </w:pPr>
      <w:r>
        <w:rPr>
          <w:sz w:val="24"/>
        </w:rPr>
        <w:t xml:space="preserve">направления (направлений) проектов, на реализацию которых предоставляется субсидия, в соответствии с </w:t>
      </w:r>
      <w:hyperlink w:tooltip="2.1. Комитет осуществляет предоставление субсидии на реализацию СО НКО проектов по следующим направлениям:" w:anchor="P106" w:history="1">
        <w:r>
          <w:rPr>
            <w:color w:val="0000ff"/>
            <w:sz w:val="24"/>
          </w:rPr>
          <w:t xml:space="preserve">пунктом 2.1</w:t>
        </w:r>
      </w:hyperlink>
      <w:r>
        <w:rPr>
          <w:sz w:val="24"/>
        </w:rPr>
        <w:t xml:space="preserve"> настоящего Порядка (далее - направление проекта);</w:t>
      </w:r>
      <w:r/>
    </w:p>
    <w:p>
      <w:pPr>
        <w:pStyle w:val="617"/>
        <w:ind w:firstLine="540"/>
        <w:jc w:val="both"/>
        <w:spacing w:before="240"/>
      </w:pPr>
      <w:r>
        <w:rPr>
          <w:sz w:val="24"/>
        </w:rPr>
        <w:t xml:space="preserve">категории получателей субсидии и критериев оценки заявок;</w:t>
      </w:r>
      <w:r/>
    </w:p>
    <w:p>
      <w:pPr>
        <w:pStyle w:val="617"/>
        <w:ind w:firstLine="540"/>
        <w:jc w:val="both"/>
        <w:spacing w:before="240"/>
      </w:pPr>
      <w:r>
        <w:rPr>
          <w:sz w:val="24"/>
        </w:rPr>
        <w:t xml:space="preserve">порядка подачи участниками отбора заявок и требований, предъявляемых к форме и содержанию заявок в соответствии с </w:t>
      </w:r>
      <w:hyperlink w:tooltip="2.5. Для участия в отборе СО НКО заполняет заявку на русском языке, содержащую следующую информацию:" w:anchor="P165" w:history="1">
        <w:r>
          <w:rPr>
            <w:color w:val="0000ff"/>
            <w:sz w:val="24"/>
          </w:rPr>
          <w:t xml:space="preserve">пунктом 2.5</w:t>
        </w:r>
      </w:hyperlink>
      <w:r>
        <w:rPr>
          <w:sz w:val="24"/>
        </w:rPr>
        <w:t xml:space="preserve"> настоящего Порядка;</w:t>
      </w:r>
      <w:r/>
    </w:p>
    <w:p>
      <w:pPr>
        <w:pStyle w:val="617"/>
        <w:ind w:firstLine="540"/>
        <w:jc w:val="both"/>
        <w:spacing w:before="240"/>
      </w:pPr>
      <w:r>
        <w:rPr>
          <w:sz w:val="24"/>
        </w:rPr>
        <w:t xml:space="preserve">порядка отзыва заявок участников отбора, порядка их возврата, определяющего в том числе основания для возврата заявок участников отбора, порядка внесения изменений в заявки;</w:t>
      </w:r>
      <w:r/>
    </w:p>
    <w:p>
      <w:pPr>
        <w:pStyle w:val="617"/>
        <w:ind w:firstLine="540"/>
        <w:jc w:val="both"/>
        <w:spacing w:before="240"/>
      </w:pPr>
      <w:r>
        <w:rPr>
          <w:sz w:val="24"/>
        </w:rPr>
        <w:t xml:space="preserve">порядка рассмотрения и оценки заявок в соответствии с </w:t>
      </w:r>
      <w:hyperlink w:tooltip="2.11. Комитет в срок, не превышающий 15 рабочих дней с даты окончания приема заявок, рассматривает представленные заявки и прилагаемые документы на соответствие направлений расходов, указанных участником отбора в заявке, требованиям, установленным пунктами 1.5 и 1.6 настоящего Порядка, на соответствие пунктам 2.5 - 2.7 настоящего Порядка и осуществляет проверку соответствия участника отбора категории получателей субсидии, установленной пунктом 1.7 настоящего Порядка, и требованиям, предусмотренным пункто..." w:anchor="P206" w:history="1">
        <w:r>
          <w:rPr>
            <w:color w:val="0000ff"/>
            <w:sz w:val="24"/>
          </w:rPr>
          <w:t xml:space="preserve">пунктами 2.11</w:t>
        </w:r>
      </w:hyperlink>
      <w:r>
        <w:rPr>
          <w:sz w:val="24"/>
        </w:rPr>
        <w:t xml:space="preserve"> - </w:t>
      </w:r>
      <w:hyperlink w:tooltip="2.23. В срок не позднее 10 календарных дней с даты проведения заседания Совета, указанного в пункте 2.22 настоящего Порядка, на основании рекомендаций, указанных в протоколе Совета, Комитет проводит оценку заявок, принимает на основании результатов оценки заявок решение о присвоении заявкам порядковых номеров и принимает с учетом оснований, указанных в пункте 2.24 настоящего Порядка, решение о предоставлении либо об отказе в предоставлении субсидии, которое оформляется правовым актом Комитета и в течение..." w:anchor="P257" w:history="1">
        <w:r>
          <w:rPr>
            <w:color w:val="0000ff"/>
            <w:sz w:val="24"/>
          </w:rPr>
          <w:t xml:space="preserve">2.23</w:t>
        </w:r>
      </w:hyperlink>
      <w:r>
        <w:rPr>
          <w:sz w:val="24"/>
        </w:rPr>
        <w:t xml:space="preserve"> настоящего Порядка;</w:t>
      </w:r>
      <w:r/>
    </w:p>
    <w:p>
      <w:pPr>
        <w:pStyle w:val="617"/>
        <w:ind w:firstLine="540"/>
        <w:jc w:val="both"/>
        <w:spacing w:before="240"/>
      </w:pPr>
      <w:r>
        <w:rPr>
          <w:sz w:val="24"/>
        </w:rPr>
        <w:t xml:space="preserve">порядка возврата заявок на доработку;</w:t>
      </w:r>
      <w:r/>
    </w:p>
    <w:p>
      <w:pPr>
        <w:pStyle w:val="617"/>
        <w:ind w:firstLine="540"/>
        <w:jc w:val="both"/>
        <w:spacing w:before="240"/>
      </w:pPr>
      <w:r>
        <w:rPr>
          <w:sz w:val="24"/>
        </w:rPr>
        <w:t xml:space="preserve">порядка отклонения заявок, а также информации об основаниях их отклонения;</w:t>
      </w:r>
      <w:r/>
    </w:p>
    <w:p>
      <w:pPr>
        <w:pStyle w:val="617"/>
        <w:ind w:firstLine="540"/>
        <w:jc w:val="both"/>
        <w:spacing w:before="240"/>
      </w:pPr>
      <w:r>
        <w:rPr>
          <w:sz w:val="24"/>
        </w:rPr>
        <w:t xml:space="preserve">порядка оценки заявок, включающего критерии оценки заявок и их весовое значение в общей оценке, сроки оценки заявок, а также информацию об участии экспертов в оценке заявок;</w:t>
      </w:r>
      <w:r/>
    </w:p>
    <w:p>
      <w:pPr>
        <w:pStyle w:val="617"/>
        <w:ind w:firstLine="540"/>
        <w:jc w:val="both"/>
        <w:spacing w:before="240"/>
      </w:pPr>
      <w:r>
        <w:rPr>
          <w:sz w:val="24"/>
        </w:rPr>
        <w:t xml:space="preserve">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 а также предельного количества победителей отбора;</w:t>
      </w:r>
      <w:r/>
    </w:p>
    <w:p>
      <w:pPr>
        <w:pStyle w:val="617"/>
        <w:ind w:firstLine="540"/>
        <w:jc w:val="both"/>
        <w:spacing w:before="240"/>
      </w:pPr>
      <w:r>
        <w:rPr>
          <w:sz w:val="24"/>
        </w:rPr>
        <w:t xml:space="preserve">порядка предоставления участникам отбора разъяснений положений объявления, даты начала и окончания срока такого предоставления;</w:t>
      </w:r>
      <w:r/>
    </w:p>
    <w:p>
      <w:pPr>
        <w:pStyle w:val="617"/>
        <w:ind w:firstLine="540"/>
        <w:jc w:val="both"/>
        <w:spacing w:before="240"/>
      </w:pPr>
      <w:r>
        <w:rPr>
          <w:sz w:val="24"/>
        </w:rPr>
        <w:t xml:space="preserve">срока, в течение которого получатель субсидии должен подписать соглашение о предоставлении субсидии (далее - соглашение);</w:t>
      </w:r>
      <w:r/>
    </w:p>
    <w:p>
      <w:pPr>
        <w:pStyle w:val="617"/>
        <w:ind w:firstLine="540"/>
        <w:jc w:val="both"/>
        <w:spacing w:before="240"/>
      </w:pPr>
      <w:r>
        <w:rPr>
          <w:sz w:val="24"/>
        </w:rPr>
        <w:t xml:space="preserve">условий признания победителя (победителей) отбора уклонившимся (уклонившимися) от заключения соглашения;</w:t>
      </w:r>
      <w:r/>
    </w:p>
    <w:p>
      <w:pPr>
        <w:pStyle w:val="617"/>
        <w:ind w:firstLine="540"/>
        <w:jc w:val="both"/>
        <w:spacing w:before="240"/>
      </w:pPr>
      <w:r>
        <w:rPr>
          <w:sz w:val="24"/>
        </w:rPr>
        <w:t xml:space="preserve">сроков размещения результатов отбора на едином портале, на официальном сайте Комитета и по адресу </w:t>
      </w:r>
      <w:hyperlink r:id="rId43" w:tooltip="https://ленобласть.гранты.рф" w:history="1">
        <w:r>
          <w:rPr>
            <w:color w:val="0000ff"/>
            <w:sz w:val="24"/>
          </w:rPr>
          <w:t xml:space="preserve">ленобласть.гранты.рф</w:t>
        </w:r>
      </w:hyperlink>
      <w:r>
        <w:rPr>
          <w:sz w:val="24"/>
        </w:rPr>
        <w:t xml:space="preserve">.</w:t>
      </w:r>
      <w:r/>
    </w:p>
    <w:p>
      <w:pPr>
        <w:pStyle w:val="617"/>
        <w:ind w:firstLine="540"/>
        <w:jc w:val="both"/>
        <w:spacing w:before="240"/>
      </w:pPr>
      <w:r>
        <w:rPr>
          <w:sz w:val="24"/>
        </w:rPr>
        <w:t xml:space="preserve">2.3. Отбор проводится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r/>
    </w:p>
    <w:p>
      <w:pPr>
        <w:pStyle w:val="617"/>
        <w:ind w:firstLine="540"/>
        <w:jc w:val="both"/>
        <w:spacing w:before="240"/>
      </w:pPr>
      <w:r>
        <w:rPr>
          <w:sz w:val="24"/>
        </w:rPr>
        <w:t xml:space="preserve">При проведении отбора в системе "Электронный бюджет":</w:t>
      </w:r>
      <w:r/>
    </w:p>
    <w:p>
      <w:pPr>
        <w:pStyle w:val="617"/>
        <w:ind w:firstLine="540"/>
        <w:jc w:val="both"/>
        <w:spacing w:before="240"/>
      </w:pPr>
      <w:r>
        <w:rPr>
          <w:sz w:val="24"/>
        </w:rPr>
        <w:t xml:space="preserve">внесение изменений в объявление осуществляется не позднее наступления даты окончания приема заявок участников отбора с соблюдением следующих условий:</w:t>
      </w:r>
      <w:r/>
    </w:p>
    <w:p>
      <w:pPr>
        <w:pStyle w:val="617"/>
        <w:ind w:firstLine="540"/>
        <w:jc w:val="both"/>
        <w:spacing w:before="240"/>
      </w:pPr>
      <w:r>
        <w:rPr>
          <w:sz w:val="24"/>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r/>
    </w:p>
    <w:p>
      <w:pPr>
        <w:pStyle w:val="617"/>
        <w:ind w:firstLine="540"/>
        <w:jc w:val="both"/>
        <w:spacing w:before="240"/>
      </w:pPr>
      <w:r>
        <w:rPr>
          <w:sz w:val="24"/>
        </w:rPr>
        <w:t xml:space="preserve">при внесении изменений в объявление изменение способа отбора получателей субсидий не допускается,</w:t>
      </w:r>
      <w:r/>
    </w:p>
    <w:p>
      <w:pPr>
        <w:pStyle w:val="617"/>
        <w:ind w:firstLine="540"/>
        <w:jc w:val="both"/>
        <w:spacing w:before="240"/>
      </w:pPr>
      <w:r>
        <w:rPr>
          <w:sz w:val="24"/>
        </w:rPr>
        <w:t xml:space="preserve">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r/>
    </w:p>
    <w:p>
      <w:pPr>
        <w:pStyle w:val="617"/>
        <w:ind w:firstLine="540"/>
        <w:jc w:val="both"/>
        <w:spacing w:before="240"/>
      </w:pPr>
      <w:r>
        <w:rPr>
          <w:sz w:val="24"/>
        </w:rPr>
        <w:t xml:space="preserve">участники отбора, 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r/>
    </w:p>
    <w:p>
      <w:pPr>
        <w:pStyle w:val="617"/>
        <w:ind w:firstLine="540"/>
        <w:jc w:val="both"/>
        <w:spacing w:before="240"/>
      </w:pPr>
      <w:r>
        <w:rPr>
          <w:sz w:val="24"/>
        </w:rPr>
        <w:t xml:space="preserve">обеспечение доступа к системе "Электронный бюджет" осуществляется с использованием федеральной государственной информ</w:t>
      </w:r>
      <w:r>
        <w:rPr>
          <w:sz w:val="24"/>
        </w:rPr>
        <w:t xml:space="preserve">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p>
    <w:p>
      <w:pPr>
        <w:pStyle w:val="617"/>
        <w:ind w:firstLine="540"/>
        <w:jc w:val="both"/>
        <w:spacing w:before="240"/>
      </w:pPr>
      <w:r>
        <w:rPr>
          <w:sz w:val="24"/>
        </w:rPr>
        <w:t xml:space="preserve">взаимодействие Комитета, а также экспертов с участниками отбора осуществляется с использованием документов в электронной форме в системе "Электронный бюджет";</w:t>
      </w:r>
      <w:r/>
    </w:p>
    <w:p>
      <w:pPr>
        <w:pStyle w:val="617"/>
        <w:ind w:firstLine="540"/>
        <w:jc w:val="both"/>
        <w:spacing w:before="240"/>
      </w:pPr>
      <w:r>
        <w:rPr>
          <w:sz w:val="24"/>
        </w:rPr>
        <w:t xml:space="preserve">запрещено требовать от участника отбора представления документов и информации в целях подтверждения соответствия участника отбора требованиям, установленным </w:t>
      </w:r>
      <w:hyperlink w:tooltip="2.4. К участию в отборе допускаются СО НКО, соответствующие категории получателей субсидии, установленной пунктом 1.7 настоящего Порядка, и соответствующие на даты рассмотрения заявок и заключения соглашения следующим требованиям:" w:anchor="P153" w:history="1">
        <w:r>
          <w:rPr>
            <w:color w:val="0000ff"/>
            <w:sz w:val="24"/>
          </w:rPr>
          <w:t xml:space="preserve">пунктом 2.4</w:t>
        </w:r>
      </w:hyperlink>
      <w:r>
        <w:rPr>
          <w:sz w:val="24"/>
        </w:rPr>
        <w:t xml:space="preserve"> настоящего Порядка, при наличии соответствующей информации в государс</w:t>
      </w:r>
      <w:r>
        <w:rPr>
          <w:sz w:val="24"/>
        </w:rPr>
        <w:t xml:space="preserve">твенных информационных системах, доступ к которым у Комитета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в Комитет по собственной инициативе;</w:t>
      </w:r>
      <w:r/>
    </w:p>
    <w:p>
      <w:pPr>
        <w:pStyle w:val="617"/>
        <w:ind w:firstLine="540"/>
        <w:jc w:val="both"/>
        <w:spacing w:before="240"/>
      </w:pPr>
      <w:r>
        <w:rPr>
          <w:sz w:val="24"/>
        </w:rPr>
        <w:t xml:space="preserve">проверка участника отбора на соответствие требованиям, установленным </w:t>
      </w:r>
      <w:hyperlink w:tooltip="2.4. К участию в отборе допускаются СО НКО, соответствующие категории получателей субсидии, установленной пунктом 1.7 настоящего Порядка, и соответствующие на даты рассмотрения заявок и заключения соглашения следующим требованиям:" w:anchor="P153" w:history="1">
        <w:r>
          <w:rPr>
            <w:color w:val="0000ff"/>
            <w:sz w:val="24"/>
          </w:rPr>
          <w:t xml:space="preserve">пунктом 2.4</w:t>
        </w:r>
      </w:hyperlink>
      <w:r>
        <w:rPr>
          <w:sz w:val="24"/>
        </w:rPr>
        <w:t xml:space="preserve"> настоящего </w:t>
      </w:r>
      <w:r>
        <w:rPr>
          <w:sz w:val="24"/>
        </w:rPr>
        <w:t xml:space="preserve">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r/>
    </w:p>
    <w:p>
      <w:pPr>
        <w:pStyle w:val="617"/>
        <w:ind w:firstLine="540"/>
        <w:jc w:val="both"/>
        <w:spacing w:before="240"/>
      </w:pPr>
      <w:r>
        <w:rPr>
          <w:sz w:val="24"/>
        </w:rPr>
        <w:t xml:space="preserve">подтверждение соответствия участника отбора требованиям, установленным </w:t>
      </w:r>
      <w:hyperlink w:tooltip="2.4. К участию в отборе допускаются СО НКО, соответствующие категории получателей субсидии, установленной пунктом 1.7 настоящего Порядка, и соответствующие на даты рассмотрения заявок и заключения соглашения следующим требованиям:" w:anchor="P153" w:history="1">
        <w:r>
          <w:rPr>
            <w:color w:val="0000ff"/>
            <w:sz w:val="24"/>
          </w:rPr>
          <w:t xml:space="preserve">пунктом 2.4</w:t>
        </w:r>
      </w:hyperlink>
      <w:r>
        <w:rPr>
          <w:sz w:val="24"/>
        </w:rPr>
        <w:t xml:space="preserve"> настоящего Порядка, в случае отсутствия технической возможности осуществления автоматическ</w:t>
      </w:r>
      <w:r>
        <w:rPr>
          <w:sz w:val="24"/>
        </w:rPr>
        <w:t xml:space="preserve">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r/>
    </w:p>
    <w:p>
      <w:pPr>
        <w:pStyle w:val="617"/>
        <w:ind w:firstLine="540"/>
        <w:jc w:val="both"/>
        <w:spacing w:before="240"/>
      </w:pPr>
      <w:r>
        <w:rPr>
          <w:sz w:val="24"/>
        </w:rPr>
        <w:t xml:space="preserve">формирование участниками отбора заявок в электронной форме осуществляется посредством заполнения соответствующих экранных форм веб-</w:t>
      </w:r>
      <w:r>
        <w:rPr>
          <w:sz w:val="24"/>
        </w:rPr>
        <w:t xml:space="preserve">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w:t>
      </w:r>
      <w:r/>
    </w:p>
    <w:p>
      <w:pPr>
        <w:pStyle w:val="617"/>
        <w:ind w:firstLine="540"/>
        <w:jc w:val="both"/>
        <w:spacing w:before="240"/>
      </w:pPr>
      <w:r>
        <w:rPr>
          <w:sz w:val="24"/>
        </w:rPr>
        <w:t xml:space="preserve">подписание заявки осуществляется усиленной квалифицированной электронной подписью руководителя участника отбора или уполномоченного им лица;</w:t>
      </w:r>
      <w:r/>
    </w:p>
    <w:p>
      <w:pPr>
        <w:pStyle w:val="617"/>
        <w:ind w:firstLine="540"/>
        <w:jc w:val="both"/>
        <w:spacing w:before="240"/>
      </w:pPr>
      <w:r>
        <w:rPr>
          <w:sz w:val="24"/>
        </w:rPr>
        <w:t xml:space="preserve">участник отбора должен соответствовать требованиям, установленным в </w:t>
      </w:r>
      <w:hyperlink w:tooltip="2.4. К участию в отборе допускаются СО НКО, соответствующие категории получателей субсидии, установленной пунктом 1.7 настоящего Порядка, и соответствующие на даты рассмотрения заявок и заключения соглашения следующим требованиям:" w:anchor="P153" w:history="1">
        <w:r>
          <w:rPr>
            <w:color w:val="0000ff"/>
            <w:sz w:val="24"/>
          </w:rPr>
          <w:t xml:space="preserve">пункте 2.4</w:t>
        </w:r>
      </w:hyperlink>
      <w:r>
        <w:rPr>
          <w:sz w:val="24"/>
        </w:rPr>
        <w:t xml:space="preserve"> настоящего Порядка, на даты рассмотрения заявки и заключения соглашения;</w:t>
      </w:r>
      <w:r/>
    </w:p>
    <w:p>
      <w:pPr>
        <w:pStyle w:val="617"/>
        <w:ind w:firstLine="540"/>
        <w:jc w:val="both"/>
        <w:spacing w:before="240"/>
      </w:pPr>
      <w:r>
        <w:rPr>
          <w:sz w:val="24"/>
        </w:rPr>
        <w:t xml:space="preserve">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r/>
    </w:p>
    <w:p>
      <w:pPr>
        <w:pStyle w:val="617"/>
        <w:ind w:firstLine="540"/>
        <w:jc w:val="both"/>
        <w:spacing w:before="240"/>
      </w:pPr>
      <w:r>
        <w:rPr>
          <w:sz w:val="24"/>
        </w:rPr>
        <w:t xml:space="preserve">Комитету открывается доступ в системе "Электронный бюджет" к заявкам для их рассмотрения и оценки, осуществляется допуск экспертов к заявкам для проведения экспертизы указанных заявок;</w:t>
      </w:r>
      <w:r/>
    </w:p>
    <w:p>
      <w:pPr>
        <w:pStyle w:val="617"/>
        <w:ind w:firstLine="540"/>
        <w:jc w:val="both"/>
        <w:spacing w:before="240"/>
      </w:pPr>
      <w:r>
        <w:rPr>
          <w:sz w:val="24"/>
        </w:rPr>
        <w:t xml:space="preserve">формирование протокола вскрытия заявок и протокола рассмотрения заявок на едином портале осуществляется автоматически;</w:t>
      </w:r>
      <w:r/>
    </w:p>
    <w:p>
      <w:pPr>
        <w:pStyle w:val="617"/>
        <w:ind w:firstLine="540"/>
        <w:jc w:val="both"/>
        <w:spacing w:before="240"/>
      </w:pPr>
      <w:r>
        <w:rPr>
          <w:sz w:val="24"/>
        </w:rPr>
        <w:t xml:space="preserve">протокол вскрытия заявок и протокол рассмотрения заяв</w:t>
      </w:r>
      <w:r>
        <w:rPr>
          <w:sz w:val="24"/>
        </w:rPr>
        <w:t xml:space="preserve">ок подписывается усиленной квалифицированной электронной подписью руководителя (уполномоченного им лица) Комитета в системе "Электронный бюджет", данные протоколы размещаются на едином портале не позднее 1-го рабочего дня, следующего за днем их подписания;</w:t>
      </w:r>
      <w:r/>
    </w:p>
    <w:p>
      <w:pPr>
        <w:pStyle w:val="617"/>
        <w:ind w:firstLine="540"/>
        <w:jc w:val="both"/>
        <w:spacing w:before="240"/>
      </w:pPr>
      <w:r>
        <w:rPr>
          <w:sz w:val="24"/>
        </w:rPr>
        <w:t xml:space="preserve">ранжирование поступивших заявок осуществляется по мере уменьшения полученных баллов по итогам оценки заявок и очередности поступления заявок в случае равенства количества полученных баллов;</w:t>
      </w:r>
      <w:r/>
    </w:p>
    <w:p>
      <w:pPr>
        <w:pStyle w:val="617"/>
        <w:ind w:firstLine="540"/>
        <w:jc w:val="both"/>
        <w:spacing w:before="240"/>
      </w:pPr>
      <w:r>
        <w:rPr>
          <w:sz w:val="24"/>
        </w:rPr>
        <w:t xml:space="preserve">формирование протокола подведения итогов отбора на едином портале на основании результатов определения победителя (победителей) отбора осуществляется автоматически;</w:t>
      </w:r>
      <w:r/>
    </w:p>
    <w:p>
      <w:pPr>
        <w:pStyle w:val="617"/>
        <w:ind w:firstLine="540"/>
        <w:jc w:val="both"/>
        <w:spacing w:before="240"/>
      </w:pPr>
      <w:r>
        <w:rPr>
          <w:sz w:val="24"/>
        </w:rPr>
        <w:t xml:space="preserve">протокол подведе</w:t>
      </w:r>
      <w:r>
        <w:rPr>
          <w:sz w:val="24"/>
        </w:rPr>
        <w:t xml:space="preserve">ния итогов отбора подписывается усиленной квалифицированной электронной подписью руководителя (уполномоченного им лица) Комитета в системе "Электронный бюджет" и размещается на едином портале не позднее 1-го рабочего дня, следующего за днем его подписания;</w:t>
      </w:r>
      <w:r/>
    </w:p>
    <w:p>
      <w:pPr>
        <w:pStyle w:val="617"/>
        <w:ind w:firstLine="540"/>
        <w:jc w:val="both"/>
        <w:spacing w:before="240"/>
      </w:pPr>
      <w:r>
        <w:rPr>
          <w:sz w:val="24"/>
        </w:rPr>
        <w:t xml:space="preserve">внесение изменений в протокол рассмотрения заявок и протокол подве</w:t>
      </w:r>
      <w:r>
        <w:rPr>
          <w:sz w:val="24"/>
        </w:rPr>
        <w:t xml:space="preserve">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r/>
    </w:p>
    <w:p>
      <w:pPr>
        <w:pStyle w:val="617"/>
        <w:ind w:firstLine="540"/>
        <w:jc w:val="both"/>
        <w:spacing w:before="240"/>
      </w:pPr>
      <w:r/>
      <w:bookmarkStart w:id="153" w:name="P153"/>
      <w:r/>
      <w:bookmarkEnd w:id="153"/>
      <w:r>
        <w:rPr>
          <w:sz w:val="24"/>
        </w:rPr>
        <w:t xml:space="preserve">2.4. К участию в отборе допускаются СО НКО, соответствующие категории получателей субсидии, установленной </w:t>
      </w:r>
      <w:hyperlink w:tooltip="1.7. К категории получателей субсидии относятся СО НКО, зарегистрированные в качестве российского юридического лица на территории Ленинградской области в порядке, установленном законодательством Российской Федерации, и соответствующие одновременно следующим условиям:" w:anchor="P91" w:history="1">
        <w:r>
          <w:rPr>
            <w:color w:val="0000ff"/>
            <w:sz w:val="24"/>
          </w:rPr>
          <w:t xml:space="preserve">пунктом 1.7</w:t>
        </w:r>
      </w:hyperlink>
      <w:r>
        <w:rPr>
          <w:sz w:val="24"/>
        </w:rPr>
        <w:t xml:space="preserve"> настоящего Порядка, и соответствующие на даты рассмотрения заявок и заключения соглашения следующим требованиям:</w:t>
      </w:r>
      <w:r/>
    </w:p>
    <w:p>
      <w:pPr>
        <w:pStyle w:val="617"/>
        <w:ind w:firstLine="540"/>
        <w:jc w:val="both"/>
        <w:spacing w:before="240"/>
      </w:pPr>
      <w:r>
        <w:rPr>
          <w:sz w:val="24"/>
        </w:rPr>
        <w:t xml:space="preserve">у участника отбора отсутствуют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Ленинградской областью;</w:t>
      </w:r>
      <w:r/>
    </w:p>
    <w:p>
      <w:pPr>
        <w:pStyle w:val="617"/>
        <w:ind w:firstLine="540"/>
        <w:jc w:val="both"/>
        <w:spacing w:before="240"/>
      </w:pPr>
      <w:r>
        <w:rPr>
          <w:sz w:val="24"/>
        </w:rPr>
        <w:t xml:space="preserve">участник отбора не находится в процессе реорганизации (за исключением реорганизации в форме присоединения </w:t>
      </w:r>
      <w:r>
        <w:rPr>
          <w:sz w:val="24"/>
        </w:rPr>
        <w:t xml:space="preserve">к юридическому лицу, являющемуся участником отбора, другого юридического лица), ликвидации, в его отношении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r/>
    </w:p>
    <w:p>
      <w:pPr>
        <w:pStyle w:val="617"/>
        <w:ind w:firstLine="540"/>
        <w:jc w:val="both"/>
        <w:spacing w:before="240"/>
      </w:pPr>
      <w:r>
        <w:rPr>
          <w:sz w:val="24"/>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w:t>
      </w:r>
      <w:r>
        <w:rPr>
          <w:sz w:val="24"/>
        </w:rPr>
        <w:t xml:space="preserve">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w:t>
      </w:r>
      <w:r>
        <w:rPr>
          <w:sz w:val="24"/>
        </w:rPr>
        <w:t xml:space="preserve"> доля прямого или косвенного (через третьих лиц) участия офшорных компаний в совокупности превышает 25 процентов (если иное не предусмотрено федеральными законами, отдельными решениями Правительства Российской Федерации и(или) порядком, определенным Правит</w:t>
      </w:r>
      <w:r>
        <w:rPr>
          <w:sz w:val="24"/>
        </w:rPr>
        <w:t xml:space="preserve">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w:t>
      </w:r>
      <w:r>
        <w:rPr>
          <w:sz w:val="24"/>
        </w:rPr>
        <w:t xml:space="preserve">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r/>
    </w:p>
    <w:p>
      <w:pPr>
        <w:pStyle w:val="617"/>
        <w:jc w:val="both"/>
      </w:pPr>
      <w:r>
        <w:rPr>
          <w:sz w:val="24"/>
        </w:rPr>
        <w:t xml:space="preserve">(в ред. </w:t>
      </w:r>
      <w:hyperlink r:id="rId44"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r/>
    </w:p>
    <w:p>
      <w:pPr>
        <w:pStyle w:val="617"/>
        <w:ind w:firstLine="540"/>
        <w:jc w:val="both"/>
        <w:spacing w:before="240"/>
      </w:pPr>
      <w:r>
        <w:rPr>
          <w:sz w:val="24"/>
        </w:rPr>
        <w:t xml:space="preserve">участник отбора не находится в составляемых в рамках реализации полномочий, предусмотренных главой VII Ус</w:t>
      </w:r>
      <w:r>
        <w:rPr>
          <w:sz w:val="24"/>
        </w:rPr>
        <w:t xml:space="preserve">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p>
    <w:p>
      <w:pPr>
        <w:pStyle w:val="617"/>
        <w:ind w:firstLine="540"/>
        <w:jc w:val="both"/>
        <w:spacing w:before="240"/>
      </w:pPr>
      <w:r>
        <w:rPr>
          <w:sz w:val="24"/>
        </w:rPr>
        <w:t xml:space="preserve">участник отбора не является иностранным агентом в соответствии с Федеральным </w:t>
      </w:r>
      <w:hyperlink r:id="rId45"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history="1">
        <w:r>
          <w:rPr>
            <w:color w:val="0000ff"/>
            <w:sz w:val="24"/>
          </w:rPr>
          <w:t xml:space="preserve">законом</w:t>
        </w:r>
      </w:hyperlink>
      <w:r>
        <w:rPr>
          <w:sz w:val="24"/>
        </w:rPr>
        <w:t xml:space="preserve"> "О контроле за деятельностью лиц, находящихся под иностранным влиянием";</w:t>
      </w:r>
      <w:r/>
    </w:p>
    <w:p>
      <w:pPr>
        <w:pStyle w:val="617"/>
        <w:ind w:firstLine="540"/>
        <w:jc w:val="both"/>
        <w:spacing w:before="240"/>
      </w:pPr>
      <w:r>
        <w:rPr>
          <w:sz w:val="24"/>
        </w:rPr>
        <w:t xml:space="preserve">участник отбора отсутствует в реестре недобросовестных поставщиков;</w:t>
      </w:r>
      <w:r/>
    </w:p>
    <w:p>
      <w:pPr>
        <w:pStyle w:val="617"/>
        <w:ind w:firstLine="540"/>
        <w:jc w:val="both"/>
        <w:spacing w:before="240"/>
      </w:pPr>
      <w:r>
        <w:rPr>
          <w:sz w:val="24"/>
        </w:rPr>
        <w:t xml:space="preserve">участник отбора не получает средства из областного бюджета на основании иных нормативных правовых актов Ленинградской области на цели, установленные настоящим Порядком, на реализацию проекта, указанного в заявке;</w:t>
      </w:r>
      <w:r/>
    </w:p>
    <w:p>
      <w:pPr>
        <w:pStyle w:val="617"/>
        <w:ind w:firstLine="540"/>
        <w:jc w:val="both"/>
        <w:spacing w:before="240"/>
      </w:pPr>
      <w:r>
        <w:rPr>
          <w:sz w:val="24"/>
        </w:rPr>
        <w:t xml:space="preserve">у участника отбора на едином налоговом счете отсутствует или не превышает размера, определенного </w:t>
      </w:r>
      <w:hyperlink r:id="rId46" w:tooltip="&quot;Налоговый кодекс Российской Федерации (часть первая)&quot; от 31.07.1998 N 146-ФЗ (ред. от 04.08.2026) (с изм. и доп., вступ. в силу с 01.09.2026) {КонсультантПлюс}" w:history="1">
        <w:r>
          <w:rPr>
            <w:color w:val="0000ff"/>
            <w:sz w:val="24"/>
          </w:rPr>
          <w:t xml:space="preserve">пунктом 3 статьи 47</w:t>
        </w:r>
      </w:hyperlink>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r/>
    </w:p>
    <w:p>
      <w:pPr>
        <w:pStyle w:val="617"/>
        <w:ind w:firstLine="540"/>
        <w:jc w:val="both"/>
        <w:spacing w:before="240"/>
      </w:pPr>
      <w:r>
        <w:rPr>
          <w:sz w:val="24"/>
        </w:rPr>
        <w:t xml:space="preserve">участник отбора не получал средства от Фонда президентских грантов, Президентского фонда культурных инициатив на реализацию проекта, указанного в заявке, за исключением случаев софинансирования мероприятий проекта.</w:t>
      </w:r>
      <w:r/>
    </w:p>
    <w:p>
      <w:pPr>
        <w:pStyle w:val="617"/>
        <w:ind w:firstLine="540"/>
        <w:jc w:val="both"/>
        <w:spacing w:before="240"/>
      </w:pPr>
      <w:r/>
      <w:bookmarkStart w:id="165" w:name="P165"/>
      <w:r/>
      <w:bookmarkEnd w:id="165"/>
      <w:r>
        <w:rPr>
          <w:sz w:val="24"/>
        </w:rPr>
        <w:t xml:space="preserve">2.5. Для участия в отборе СО НКО заполняет заявку на русском языке, содержащую следующую информацию:</w:t>
      </w:r>
      <w:r/>
    </w:p>
    <w:p>
      <w:pPr>
        <w:pStyle w:val="617"/>
        <w:ind w:firstLine="540"/>
        <w:jc w:val="both"/>
        <w:spacing w:before="240"/>
      </w:pPr>
      <w:r>
        <w:rPr>
          <w:sz w:val="24"/>
        </w:rPr>
        <w:t xml:space="preserve">направление проекта, указанное в объявлении;</w:t>
      </w:r>
      <w:r/>
    </w:p>
    <w:p>
      <w:pPr>
        <w:pStyle w:val="617"/>
        <w:ind w:firstLine="540"/>
        <w:jc w:val="both"/>
        <w:spacing w:before="240"/>
      </w:pPr>
      <w:r>
        <w:rPr>
          <w:sz w:val="24"/>
        </w:rPr>
        <w:t xml:space="preserve">наименование проекта;</w:t>
      </w:r>
      <w:r/>
    </w:p>
    <w:p>
      <w:pPr>
        <w:pStyle w:val="617"/>
        <w:ind w:firstLine="540"/>
        <w:jc w:val="both"/>
        <w:spacing w:before="240"/>
      </w:pPr>
      <w:r>
        <w:rPr>
          <w:sz w:val="24"/>
        </w:rPr>
        <w:t xml:space="preserve">цель (цели) и задачи проекта;</w:t>
      </w:r>
      <w:r/>
    </w:p>
    <w:p>
      <w:pPr>
        <w:pStyle w:val="617"/>
        <w:ind w:firstLine="540"/>
        <w:jc w:val="both"/>
        <w:spacing w:before="240"/>
      </w:pPr>
      <w:r>
        <w:rPr>
          <w:sz w:val="24"/>
        </w:rPr>
        <w:t xml:space="preserve">краткое описание проекта;</w:t>
      </w:r>
      <w:r/>
    </w:p>
    <w:p>
      <w:pPr>
        <w:pStyle w:val="617"/>
        <w:ind w:firstLine="540"/>
        <w:jc w:val="both"/>
        <w:spacing w:before="240"/>
      </w:pPr>
      <w:r>
        <w:rPr>
          <w:sz w:val="24"/>
        </w:rPr>
        <w:t xml:space="preserve">территория, на которой запланирована реализация проекта;</w:t>
      </w:r>
      <w:r/>
    </w:p>
    <w:p>
      <w:pPr>
        <w:pStyle w:val="617"/>
        <w:ind w:firstLine="540"/>
        <w:jc w:val="both"/>
        <w:spacing w:before="240"/>
      </w:pPr>
      <w:r>
        <w:rPr>
          <w:sz w:val="24"/>
        </w:rPr>
        <w:t xml:space="preserve">срок реализации проекта;</w:t>
      </w:r>
      <w:r/>
    </w:p>
    <w:p>
      <w:pPr>
        <w:pStyle w:val="617"/>
        <w:ind w:firstLine="540"/>
        <w:jc w:val="both"/>
        <w:spacing w:before="240"/>
      </w:pPr>
      <w:r>
        <w:rPr>
          <w:sz w:val="24"/>
        </w:rPr>
        <w:t xml:space="preserve">обоснование социальной значимости проекта;</w:t>
      </w:r>
      <w:r/>
    </w:p>
    <w:p>
      <w:pPr>
        <w:pStyle w:val="617"/>
        <w:ind w:firstLine="540"/>
        <w:jc w:val="both"/>
        <w:spacing w:before="240"/>
      </w:pPr>
      <w:r>
        <w:rPr>
          <w:sz w:val="24"/>
        </w:rPr>
        <w:t xml:space="preserve">благополучатели;</w:t>
      </w:r>
      <w:r/>
    </w:p>
    <w:p>
      <w:pPr>
        <w:pStyle w:val="617"/>
        <w:ind w:firstLine="540"/>
        <w:jc w:val="both"/>
        <w:spacing w:before="240"/>
      </w:pPr>
      <w:r>
        <w:rPr>
          <w:sz w:val="24"/>
        </w:rPr>
        <w:t xml:space="preserve">значение результата предоставления субсидии, характеристики результата;</w:t>
      </w:r>
      <w:r/>
    </w:p>
    <w:p>
      <w:pPr>
        <w:pStyle w:val="617"/>
        <w:ind w:firstLine="540"/>
        <w:jc w:val="both"/>
        <w:spacing w:before="240"/>
      </w:pPr>
      <w:r>
        <w:rPr>
          <w:sz w:val="24"/>
        </w:rPr>
        <w:t xml:space="preserve">общая сумма расходов на реализацию проекта;</w:t>
      </w:r>
      <w:r/>
    </w:p>
    <w:p>
      <w:pPr>
        <w:pStyle w:val="617"/>
        <w:ind w:firstLine="540"/>
        <w:jc w:val="both"/>
        <w:spacing w:before="240"/>
      </w:pPr>
      <w:r>
        <w:rPr>
          <w:sz w:val="24"/>
        </w:rPr>
        <w:t xml:space="preserve">размер запрашиваемой субсидии;</w:t>
      </w:r>
      <w:r/>
    </w:p>
    <w:p>
      <w:pPr>
        <w:pStyle w:val="617"/>
        <w:ind w:firstLine="540"/>
        <w:jc w:val="both"/>
        <w:spacing w:before="240"/>
      </w:pPr>
      <w:r>
        <w:rPr>
          <w:sz w:val="24"/>
        </w:rPr>
        <w:t xml:space="preserve">сумма софинансирования;</w:t>
      </w:r>
      <w:r/>
    </w:p>
    <w:p>
      <w:pPr>
        <w:pStyle w:val="617"/>
        <w:ind w:firstLine="540"/>
        <w:jc w:val="both"/>
        <w:spacing w:before="240"/>
      </w:pPr>
      <w:r>
        <w:rPr>
          <w:sz w:val="24"/>
        </w:rPr>
        <w:t xml:space="preserve">календарный план проекта;</w:t>
      </w:r>
      <w:r/>
    </w:p>
    <w:p>
      <w:pPr>
        <w:pStyle w:val="617"/>
        <w:ind w:firstLine="540"/>
        <w:jc w:val="both"/>
        <w:spacing w:before="240"/>
      </w:pPr>
      <w:r>
        <w:rPr>
          <w:sz w:val="24"/>
        </w:rPr>
        <w:t xml:space="preserve">бюджет проекта (смета расходов);</w:t>
      </w:r>
      <w:r/>
    </w:p>
    <w:p>
      <w:pPr>
        <w:pStyle w:val="617"/>
        <w:ind w:firstLine="540"/>
        <w:jc w:val="both"/>
        <w:spacing w:before="240"/>
      </w:pPr>
      <w:r>
        <w:rPr>
          <w:sz w:val="24"/>
        </w:rPr>
        <w:t xml:space="preserve">информация по каждому критерию оценки заявок;</w:t>
      </w:r>
      <w:r/>
    </w:p>
    <w:p>
      <w:pPr>
        <w:pStyle w:val="617"/>
        <w:ind w:firstLine="540"/>
        <w:jc w:val="both"/>
        <w:spacing w:before="240"/>
      </w:pPr>
      <w:r>
        <w:rPr>
          <w:sz w:val="24"/>
        </w:rPr>
        <w:t xml:space="preserve">сведения и документы, подтверждающие информацию по каждому критерию оценки заявок;</w:t>
      </w:r>
      <w:r/>
    </w:p>
    <w:p>
      <w:pPr>
        <w:pStyle w:val="617"/>
        <w:ind w:firstLine="540"/>
        <w:jc w:val="both"/>
        <w:spacing w:before="240"/>
      </w:pPr>
      <w:r>
        <w:rPr>
          <w:sz w:val="24"/>
        </w:rPr>
        <w:t xml:space="preserve">информация о руководителе проекта;</w:t>
      </w:r>
      <w:r/>
    </w:p>
    <w:p>
      <w:pPr>
        <w:pStyle w:val="617"/>
        <w:ind w:firstLine="540"/>
        <w:jc w:val="both"/>
        <w:spacing w:before="240"/>
      </w:pPr>
      <w:r>
        <w:rPr>
          <w:sz w:val="24"/>
        </w:rPr>
        <w:t xml:space="preserve">информация о СО НКО, включая: полное и </w:t>
      </w:r>
      <w:r>
        <w:rPr>
          <w:sz w:val="24"/>
        </w:rPr>
        <w:t xml:space="preserve">сокращенное (при наличии) наименование, основной государственный регистрационный номер, идентификационный номер налогоплательщика, местонахождение организации; основные виды деятельности организации; контактный телефон организации; адрес электронной почты;</w:t>
      </w:r>
      <w:r/>
    </w:p>
    <w:p>
      <w:pPr>
        <w:pStyle w:val="617"/>
        <w:ind w:firstLine="540"/>
        <w:jc w:val="both"/>
        <w:spacing w:before="240"/>
      </w:pPr>
      <w:r>
        <w:rPr>
          <w:sz w:val="24"/>
        </w:rPr>
        <w:t xml:space="preserve">согласие участника отбора на осуществление в отношении него проверки Комитетом соблюдения порядка и условий предост</w:t>
      </w:r>
      <w:r>
        <w:rPr>
          <w:sz w:val="24"/>
        </w:rPr>
        <w:t xml:space="preserve">авления субсидии, в том числе в части достижения результатов предоставления субсидии, проверки органами государственного финансового контроля Ленинградской области соблюдения получателем субсидии условий и порядка предоставления субсидии в соответствии со </w:t>
      </w:r>
      <w:hyperlink r:id="rId47" w:tooltip="&quot;Бюджетный кодекс Российской Федерации&quot; от 31.07.1998 N 145-ФЗ (ред. от 26.06.2026) (с изм. и доп., вступ. в силу с 01.09.2026) {КонсультантПлюс}" w:history="1">
        <w:r>
          <w:rPr>
            <w:color w:val="0000ff"/>
            <w:sz w:val="24"/>
          </w:rPr>
          <w:t xml:space="preserve">статьями 268.1</w:t>
        </w:r>
      </w:hyperlink>
      <w:r>
        <w:rPr>
          <w:sz w:val="24"/>
        </w:rPr>
        <w:t xml:space="preserve"> и </w:t>
      </w:r>
      <w:hyperlink r:id="rId48" w:tooltip="&quot;Бюджетный кодекс Российской Федерации&quot; от 31.07.1998 N 145-ФЗ (ред. от 26.06.2026) (с изм. и доп., вступ. в силу с 01.09.2026) {КонсультантПлюс}" w:history="1">
        <w:r>
          <w:rPr>
            <w:color w:val="0000ff"/>
            <w:sz w:val="24"/>
          </w:rPr>
          <w:t xml:space="preserve">269.2</w:t>
        </w:r>
      </w:hyperlink>
      <w:r>
        <w:rPr>
          <w:sz w:val="24"/>
        </w:rPr>
        <w:t xml:space="preserve"> Бюджетного кодекса Российской Федерации, а также на включение таких положений в соглашение;</w:t>
      </w:r>
      <w:r/>
    </w:p>
    <w:p>
      <w:pPr>
        <w:pStyle w:val="617"/>
        <w:ind w:firstLine="540"/>
        <w:jc w:val="both"/>
        <w:spacing w:before="240"/>
      </w:pPr>
      <w:r>
        <w:rPr>
          <w:sz w:val="24"/>
        </w:rPr>
        <w:t xml:space="preserve">согласие на обработку персональных данных, указанных в заявке;</w:t>
      </w:r>
      <w:r/>
    </w:p>
    <w:p>
      <w:pPr>
        <w:pStyle w:val="617"/>
        <w:ind w:firstLine="540"/>
        <w:jc w:val="both"/>
        <w:spacing w:before="240"/>
      </w:pPr>
      <w:r>
        <w:rPr>
          <w:sz w:val="24"/>
        </w:rPr>
        <w:t xml:space="preserve">согласие на публикацию (размещение) в сети "Интернет" информации о СО НКО, о подаваемой ею заявке, иной информации о СО НКО, связанной с отбором.</w:t>
      </w:r>
      <w:r/>
    </w:p>
    <w:p>
      <w:pPr>
        <w:pStyle w:val="617"/>
        <w:ind w:firstLine="540"/>
        <w:jc w:val="both"/>
        <w:spacing w:before="240"/>
      </w:pPr>
      <w:r>
        <w:rPr>
          <w:sz w:val="24"/>
        </w:rPr>
        <w:t xml:space="preserve">К заявке прилагаются следующие документы:</w:t>
      </w:r>
      <w:r/>
    </w:p>
    <w:p>
      <w:pPr>
        <w:pStyle w:val="617"/>
        <w:ind w:firstLine="540"/>
        <w:jc w:val="both"/>
        <w:spacing w:before="240"/>
      </w:pPr>
      <w:r>
        <w:rPr>
          <w:sz w:val="24"/>
        </w:rPr>
        <w:t xml:space="preserve">электронная (отсканированная) коп</w:t>
      </w:r>
      <w:r>
        <w:rPr>
          <w:sz w:val="24"/>
        </w:rPr>
        <w:t xml:space="preserve">ия действующей редакции устава участника отбора (со всеми внесенными изменениями) в формате pdf - в случае если действующая редакция устава участника отбора не размещена на информационном ресурсе Министерства юстиции Российской Федерации в сети "Интернет";</w:t>
      </w:r>
      <w:r/>
    </w:p>
    <w:p>
      <w:pPr>
        <w:pStyle w:val="617"/>
        <w:jc w:val="both"/>
      </w:pPr>
      <w:r>
        <w:rPr>
          <w:sz w:val="24"/>
        </w:rPr>
        <w:t xml:space="preserve">(в ред. </w:t>
      </w:r>
      <w:hyperlink r:id="rId49"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коммерческие предложения потенциальных испо</w:t>
      </w:r>
      <w:r>
        <w:rPr>
          <w:sz w:val="24"/>
        </w:rPr>
        <w:t xml:space="preserve">лнителей работ (услуг), и(или) информация с официальных сайтов исполнителей, и(или) нормативы затрат, и(или) статистические данные, и(или) иные документы, подтверждающие обоснованность представленных в бюджете проекта (смете расходов) затрат (при наличии);</w:t>
      </w:r>
      <w:r/>
    </w:p>
    <w:p>
      <w:pPr>
        <w:pStyle w:val="617"/>
        <w:ind w:firstLine="540"/>
        <w:jc w:val="both"/>
        <w:spacing w:before="240"/>
      </w:pPr>
      <w:r>
        <w:rPr>
          <w:sz w:val="24"/>
        </w:rPr>
        <w:t xml:space="preserve">документы, подтверждающие наличие у участника отбора опыта успешной реализации проектов с учетом направления проекта, указанного в заявке, в том числе: награды, благодарственные письма, а также письма поддержки в формате pdf (при наличии);</w:t>
      </w:r>
      <w:r/>
    </w:p>
    <w:p>
      <w:pPr>
        <w:pStyle w:val="617"/>
        <w:ind w:firstLine="540"/>
        <w:jc w:val="both"/>
        <w:spacing w:before="240"/>
      </w:pPr>
      <w:r>
        <w:rPr>
          <w:sz w:val="24"/>
        </w:rPr>
        <w:t xml:space="preserve">документы, содержащие информацию о количестве муниципальных образований Лени</w:t>
      </w:r>
      <w:r>
        <w:rPr>
          <w:sz w:val="24"/>
        </w:rPr>
        <w:t xml:space="preserve">нградской области (муниципальный район, муниципальный округ, городской округ), на территории которых представлен участник отбора (имеет филиалы и(или) представительства и(или) членов, и(или) иные организации, входящие в структуру в соответствии с уставом);</w:t>
      </w:r>
      <w:r/>
    </w:p>
    <w:p>
      <w:pPr>
        <w:pStyle w:val="617"/>
        <w:jc w:val="both"/>
      </w:pPr>
      <w:r>
        <w:rPr>
          <w:sz w:val="24"/>
        </w:rPr>
        <w:t xml:space="preserve">(в ред. </w:t>
      </w:r>
      <w:hyperlink r:id="rId50"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презентация проекта в форматах pdf или pptx (при наличии);</w:t>
      </w:r>
      <w:r/>
    </w:p>
    <w:p>
      <w:pPr>
        <w:pStyle w:val="617"/>
        <w:ind w:firstLine="540"/>
        <w:jc w:val="both"/>
        <w:spacing w:before="240"/>
      </w:pPr>
      <w:r>
        <w:rPr>
          <w:sz w:val="24"/>
        </w:rPr>
        <w:t xml:space="preserve">документы, содержащие информацию о роли и конкретных формах участия партнеров проекта в реализации проекта (письма, соглашения и др.) (при наличии);</w:t>
      </w:r>
      <w:r/>
    </w:p>
    <w:p>
      <w:pPr>
        <w:pStyle w:val="617"/>
        <w:ind w:firstLine="540"/>
        <w:jc w:val="both"/>
        <w:spacing w:before="240"/>
      </w:pPr>
      <w:r>
        <w:rPr>
          <w:sz w:val="24"/>
        </w:rPr>
        <w:t xml:space="preserve">сведения об учредителях СО НКО - юридических лицах или информация об их отсутствии;</w:t>
      </w:r>
      <w:r/>
    </w:p>
    <w:p>
      <w:pPr>
        <w:pStyle w:val="617"/>
        <w:ind w:firstLine="540"/>
        <w:jc w:val="both"/>
        <w:spacing w:before="240"/>
      </w:pPr>
      <w:r>
        <w:rPr>
          <w:sz w:val="24"/>
        </w:rPr>
        <w:t xml:space="preserve">электронная (отсканированная) копия документа, подтверждающего полномоч</w:t>
      </w:r>
      <w:r>
        <w:rPr>
          <w:sz w:val="24"/>
        </w:rPr>
        <w:t xml:space="preserve">ия лица на подачу заявки от имени участника отбора, в формате pdf - в случае если заявку подает лицо, сведения о котором как о лице, имеющем право без доверенности действовать от имени СО НКО, не содержатся в едином государственном реестре юридических лиц.</w:t>
      </w:r>
      <w:r/>
    </w:p>
    <w:p>
      <w:pPr>
        <w:pStyle w:val="617"/>
        <w:jc w:val="both"/>
      </w:pPr>
      <w:r>
        <w:rPr>
          <w:sz w:val="24"/>
        </w:rPr>
        <w:t xml:space="preserve">(абзац введен </w:t>
      </w:r>
      <w:hyperlink r:id="rId51"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Постановлением</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2.6. В календарный план включаются мероприятия:</w:t>
      </w:r>
      <w:r/>
    </w:p>
    <w:p>
      <w:pPr>
        <w:pStyle w:val="617"/>
        <w:ind w:firstLine="540"/>
        <w:jc w:val="both"/>
        <w:spacing w:before="240"/>
      </w:pPr>
      <w:r>
        <w:rPr>
          <w:sz w:val="24"/>
        </w:rPr>
        <w:t xml:space="preserve">1) по направлению, указанному в </w:t>
      </w:r>
      <w:hyperlink w:tooltip="в сфере социальной поддержки и защиты ветеранов и &quot;серебряных&quot; волонтеров;" w:anchor="P107" w:history="1">
        <w:r>
          <w:rPr>
            <w:color w:val="0000ff"/>
            <w:sz w:val="24"/>
          </w:rPr>
          <w:t xml:space="preserve">абзаце втором пункта 2.1</w:t>
        </w:r>
      </w:hyperlink>
      <w:r>
        <w:rPr>
          <w:sz w:val="24"/>
        </w:rPr>
        <w:t xml:space="preserve"> настоящего Порядка, - для ветеранов, в </w:t>
      </w:r>
      <w:r>
        <w:rPr>
          <w:sz w:val="24"/>
        </w:rPr>
        <w:t xml:space="preserve">том числе ветеранов Великой Отечественной войны, ветеранов локальных войн и военных конфликтов, ветеранов специальной военной операции, ветеранов (пенсионеров) войны, труда, Вооруженных Сил и правоохранительных органов, а также для "серебряных" волонтеров;</w:t>
      </w:r>
      <w:r/>
    </w:p>
    <w:p>
      <w:pPr>
        <w:pStyle w:val="617"/>
        <w:ind w:firstLine="540"/>
        <w:jc w:val="both"/>
        <w:spacing w:before="240"/>
      </w:pPr>
      <w:r>
        <w:rPr>
          <w:sz w:val="24"/>
        </w:rPr>
        <w:t xml:space="preserve">2) по направлению, указанному в </w:t>
      </w:r>
      <w:hyperlink w:tooltip="в сфере социальной поддержки и защиты инвалидов." w:anchor="P108" w:history="1">
        <w:r>
          <w:rPr>
            <w:color w:val="0000ff"/>
            <w:sz w:val="24"/>
          </w:rPr>
          <w:t xml:space="preserve">абзаце третьем пункта 2.1</w:t>
        </w:r>
      </w:hyperlink>
      <w:r>
        <w:rPr>
          <w:sz w:val="24"/>
        </w:rPr>
        <w:t xml:space="preserve"> настоящего Порядка, - для инвалидов, в том числе с нарушением зрения, слуха, опорно-двигательного аппарата, общего заболевания.</w:t>
      </w:r>
      <w:r/>
    </w:p>
    <w:p>
      <w:pPr>
        <w:pStyle w:val="617"/>
        <w:ind w:firstLine="540"/>
        <w:jc w:val="both"/>
        <w:spacing w:before="240"/>
      </w:pPr>
      <w:r/>
      <w:bookmarkStart w:id="202" w:name="P202"/>
      <w:r/>
      <w:bookmarkEnd w:id="202"/>
      <w:r>
        <w:rPr>
          <w:sz w:val="24"/>
        </w:rPr>
        <w:t xml:space="preserve">2.7. Для участия в отборе СО НКО вправе представить не более одной заявки.</w:t>
      </w:r>
      <w:r/>
    </w:p>
    <w:p>
      <w:pPr>
        <w:pStyle w:val="617"/>
        <w:ind w:firstLine="540"/>
        <w:jc w:val="both"/>
        <w:spacing w:before="240"/>
      </w:pPr>
      <w:r>
        <w:rPr>
          <w:sz w:val="24"/>
        </w:rPr>
        <w:t xml:space="preserve">2.8. Участник отбора несет ответственность за подлинность документов и достоверность сведений, представленных на отбор, в соответствии с законодательством Российской Федерации.</w:t>
      </w:r>
      <w:r/>
    </w:p>
    <w:p>
      <w:pPr>
        <w:pStyle w:val="617"/>
        <w:ind w:firstLine="540"/>
        <w:jc w:val="both"/>
        <w:spacing w:before="240"/>
      </w:pPr>
      <w:r>
        <w:rPr>
          <w:sz w:val="24"/>
        </w:rPr>
        <w:t xml:space="preserve">2.9. Участник отбора вправе отозвать заявку до даты окончания приема заявок. Внесение изменений в заявку участником отбора осуществляется путем отзыва и подачи новой заявки. Возврат заявки, в том числе возврат заявки на доработку, не осуществляется.</w:t>
      </w:r>
      <w:r/>
    </w:p>
    <w:p>
      <w:pPr>
        <w:pStyle w:val="617"/>
        <w:ind w:firstLine="540"/>
        <w:jc w:val="both"/>
        <w:spacing w:before="240"/>
      </w:pPr>
      <w:r>
        <w:rPr>
          <w:sz w:val="24"/>
        </w:rPr>
        <w:t xml:space="preserve">2.10. Разъяснения положений объявления предоставляются Комитетом в течение срока приема заявок по обращению участника отбора в течение семи рабочих дней с даты регистрации соответствующего обращения в Комитете.</w:t>
      </w:r>
      <w:r/>
    </w:p>
    <w:p>
      <w:pPr>
        <w:pStyle w:val="617"/>
        <w:ind w:firstLine="540"/>
        <w:jc w:val="both"/>
        <w:spacing w:before="240"/>
      </w:pPr>
      <w:r/>
      <w:bookmarkStart w:id="206" w:name="P206"/>
      <w:r/>
      <w:bookmarkEnd w:id="206"/>
      <w:r>
        <w:rPr>
          <w:sz w:val="24"/>
        </w:rPr>
        <w:t xml:space="preserve">2.11. Комитет в срок, не превышающий 15 рабочих дней с даты окончания приема заявок, рассматривает представленные заявки и прилагаемые документы на соответствие направлений расходов, указанных участником отбора в заявке, требованиям, установленным </w:t>
      </w:r>
      <w:hyperlink w:tooltip="1.5. Субсидия предоставляется СО НКО на финансовое обеспечение затрат, связанных с реализацией проекта в рамках государственной программы Ленинградской области &quot;Устойчивое общественное развитие в Ленинградской области&quot;, по следующим направлениям расходов:" w:anchor="P76" w:history="1">
        <w:r>
          <w:rPr>
            <w:color w:val="0000ff"/>
            <w:sz w:val="24"/>
          </w:rPr>
          <w:t xml:space="preserve">пунктами 1.5</w:t>
        </w:r>
      </w:hyperlink>
      <w:r>
        <w:rPr>
          <w:sz w:val="24"/>
        </w:rPr>
        <w:t xml:space="preserve"> и </w:t>
      </w:r>
      <w:hyperlink w:tooltip="1.6. Субсидия не может быть направлена на:" w:anchor="P82" w:history="1">
        <w:r>
          <w:rPr>
            <w:color w:val="0000ff"/>
            <w:sz w:val="24"/>
          </w:rPr>
          <w:t xml:space="preserve">1.6</w:t>
        </w:r>
      </w:hyperlink>
      <w:r>
        <w:rPr>
          <w:sz w:val="24"/>
        </w:rPr>
        <w:t xml:space="preserve"> настоящего Порядка, на соответствие </w:t>
      </w:r>
      <w:hyperlink w:tooltip="2.5. Для участия в отборе СО НКО заполняет заявку на русском языке, содержащую следующую информацию:" w:anchor="P165" w:history="1">
        <w:r>
          <w:rPr>
            <w:color w:val="0000ff"/>
            <w:sz w:val="24"/>
          </w:rPr>
          <w:t xml:space="preserve">пунктам 2.5</w:t>
        </w:r>
      </w:hyperlink>
      <w:r>
        <w:rPr>
          <w:sz w:val="24"/>
        </w:rPr>
        <w:t xml:space="preserve"> - </w:t>
      </w:r>
      <w:hyperlink w:tooltip="2.7. Для участия в отборе СО НКО вправе представить не более одной заявки." w:anchor="P202" w:history="1">
        <w:r>
          <w:rPr>
            <w:color w:val="0000ff"/>
            <w:sz w:val="24"/>
          </w:rPr>
          <w:t xml:space="preserve">2.7</w:t>
        </w:r>
      </w:hyperlink>
      <w:r>
        <w:rPr>
          <w:sz w:val="24"/>
        </w:rPr>
        <w:t xml:space="preserve"> настоящего Порядка и осуществляет проверку соответствия участника отбора категории получателей субсидии, установленной </w:t>
      </w:r>
      <w:hyperlink w:tooltip="1.7. К категории получателей субсидии относятся СО НКО, зарегистрированные в качестве российского юридического лица на территории Ленинградской области в порядке, установленном законодательством Российской Федерации, и соответствующие одновременно следующим условиям:" w:anchor="P91" w:history="1">
        <w:r>
          <w:rPr>
            <w:color w:val="0000ff"/>
            <w:sz w:val="24"/>
          </w:rPr>
          <w:t xml:space="preserve">пунктом 1.7</w:t>
        </w:r>
      </w:hyperlink>
      <w:r>
        <w:rPr>
          <w:sz w:val="24"/>
        </w:rPr>
        <w:t xml:space="preserve"> настоящего Порядка, и требованиям, предусмотренным </w:t>
      </w:r>
      <w:hyperlink w:tooltip="2.4. К участию в отборе допускаются СО НКО, соответствующие категории получателей субсидии, установленной пунктом 1.7 настоящего Порядка, и соответствующие на даты рассмотрения заявок и заключения соглашения следующим требованиям:" w:anchor="P153" w:history="1">
        <w:r>
          <w:rPr>
            <w:color w:val="0000ff"/>
            <w:sz w:val="24"/>
          </w:rPr>
          <w:t xml:space="preserve">пунктом 2.4</w:t>
        </w:r>
      </w:hyperlink>
      <w:r>
        <w:rPr>
          <w:sz w:val="24"/>
        </w:rPr>
        <w:t xml:space="preserve"> настоящего Порядка.</w:t>
      </w:r>
      <w:r/>
    </w:p>
    <w:p>
      <w:pPr>
        <w:pStyle w:val="617"/>
        <w:ind w:firstLine="540"/>
        <w:jc w:val="both"/>
        <w:spacing w:before="240"/>
      </w:pPr>
      <w:r>
        <w:rPr>
          <w:sz w:val="24"/>
        </w:rPr>
        <w:t xml:space="preserve">Информация о заявках (включая информацию о наименовании участник</w:t>
      </w:r>
      <w:r>
        <w:rPr>
          <w:sz w:val="24"/>
        </w:rPr>
        <w:t xml:space="preserve">а отбора, его основной государственный регистрационный номер и(или) идентификационный номер налогоплательщика, название и(или) краткое описание проекта, размер запрашиваемой субсидии) размещается в сети "Интернет" на официальном сайте Комитета и по адресу </w:t>
      </w:r>
      <w:hyperlink r:id="rId52" w:tooltip="https://ленобласть.гранты.рф" w:history="1">
        <w:r>
          <w:rPr>
            <w:color w:val="0000ff"/>
            <w:sz w:val="24"/>
          </w:rPr>
          <w:t xml:space="preserve">ленобласть.гранты.рф</w:t>
        </w:r>
      </w:hyperlink>
      <w:r>
        <w:rPr>
          <w:sz w:val="24"/>
        </w:rPr>
        <w:t xml:space="preserve"> в течение 15 календарных дней с даты окончания приема заявок.</w:t>
      </w:r>
      <w:r/>
    </w:p>
    <w:p>
      <w:pPr>
        <w:pStyle w:val="617"/>
        <w:ind w:firstLine="540"/>
        <w:jc w:val="both"/>
        <w:spacing w:before="240"/>
      </w:pPr>
      <w:r>
        <w:rPr>
          <w:sz w:val="24"/>
        </w:rPr>
        <w:t xml:space="preserve">2.12. Основаниями для отклонения заявки являются:</w:t>
      </w:r>
      <w:r/>
    </w:p>
    <w:p>
      <w:pPr>
        <w:pStyle w:val="617"/>
        <w:ind w:firstLine="540"/>
        <w:jc w:val="both"/>
        <w:spacing w:before="240"/>
      </w:pPr>
      <w:r>
        <w:rPr>
          <w:sz w:val="24"/>
        </w:rPr>
        <w:t xml:space="preserve">1) несоответствие участника отбора категории получателей субсидии, установленной </w:t>
      </w:r>
      <w:hyperlink w:tooltip="1.7. К категории получателей субсидии относятся СО НКО, зарегистрированные в качестве российского юридического лица на территории Ленинградской области в порядке, установленном законодательством Российской Федерации, и соответствующие одновременно следующим условиям:" w:anchor="P91" w:history="1">
        <w:r>
          <w:rPr>
            <w:color w:val="0000ff"/>
            <w:sz w:val="24"/>
          </w:rPr>
          <w:t xml:space="preserve">пунктом 1.7</w:t>
        </w:r>
      </w:hyperlink>
      <w:r>
        <w:rPr>
          <w:sz w:val="24"/>
        </w:rPr>
        <w:t xml:space="preserve"> настоящего Порядка;</w:t>
      </w:r>
      <w:r/>
    </w:p>
    <w:p>
      <w:pPr>
        <w:pStyle w:val="617"/>
        <w:ind w:firstLine="540"/>
        <w:jc w:val="both"/>
        <w:spacing w:before="240"/>
      </w:pPr>
      <w:r>
        <w:rPr>
          <w:sz w:val="24"/>
        </w:rPr>
        <w:t xml:space="preserve">2) несоответствие участника отбора требованиям, установленным в </w:t>
      </w:r>
      <w:hyperlink w:tooltip="2.4. К участию в отборе допускаются СО НКО, соответствующие категории получателей субсидии, установленной пунктом 1.7 настоящего Порядка, и соответствующие на даты рассмотрения заявок и заключения соглашения следующим требованиям:" w:anchor="P153" w:history="1">
        <w:r>
          <w:rPr>
            <w:color w:val="0000ff"/>
            <w:sz w:val="24"/>
          </w:rPr>
          <w:t xml:space="preserve">пункте 2.4</w:t>
        </w:r>
      </w:hyperlink>
      <w:r>
        <w:rPr>
          <w:sz w:val="24"/>
        </w:rPr>
        <w:t xml:space="preserve"> настоящего Порядка;</w:t>
      </w:r>
      <w:r/>
    </w:p>
    <w:p>
      <w:pPr>
        <w:pStyle w:val="617"/>
        <w:ind w:firstLine="540"/>
        <w:jc w:val="both"/>
        <w:spacing w:before="240"/>
      </w:pPr>
      <w:r>
        <w:rPr>
          <w:sz w:val="24"/>
        </w:rPr>
        <w:t xml:space="preserve">3) несоответствие направлений расходов, указанных участником отбора в заявке, требованиям, установленным в </w:t>
      </w:r>
      <w:hyperlink w:tooltip="1.5. Субсидия предоставляется СО НКО на финансовое обеспечение затрат, связанных с реализацией проекта в рамках государственной программы Ленинградской области &quot;Устойчивое общественное развитие в Ленинградской области&quot;, по следующим направлениям расходов:" w:anchor="P76" w:history="1">
        <w:r>
          <w:rPr>
            <w:color w:val="0000ff"/>
            <w:sz w:val="24"/>
          </w:rPr>
          <w:t xml:space="preserve">пунктах 1.5</w:t>
        </w:r>
      </w:hyperlink>
      <w:r>
        <w:rPr>
          <w:sz w:val="24"/>
        </w:rPr>
        <w:t xml:space="preserve"> и </w:t>
      </w:r>
      <w:hyperlink w:tooltip="1.6. Субсидия не может быть направлена на:" w:anchor="P82" w:history="1">
        <w:r>
          <w:rPr>
            <w:color w:val="0000ff"/>
            <w:sz w:val="24"/>
          </w:rPr>
          <w:t xml:space="preserve">1.6</w:t>
        </w:r>
      </w:hyperlink>
      <w:r>
        <w:rPr>
          <w:sz w:val="24"/>
        </w:rPr>
        <w:t xml:space="preserve"> настоящего Порядка;</w:t>
      </w:r>
      <w:r/>
    </w:p>
    <w:p>
      <w:pPr>
        <w:pStyle w:val="617"/>
        <w:ind w:firstLine="540"/>
        <w:jc w:val="both"/>
        <w:spacing w:before="240"/>
      </w:pPr>
      <w:r>
        <w:rPr>
          <w:sz w:val="24"/>
        </w:rPr>
        <w:t xml:space="preserve">4) несоответствие представленных участником отбора заявки и(или) документов требованиям, установленным в объявлении и в </w:t>
      </w:r>
      <w:hyperlink w:tooltip="2.5. Для участия в отборе СО НКО заполняет заявку на русском языке, содержащую следующую информацию:" w:anchor="P165" w:history="1">
        <w:r>
          <w:rPr>
            <w:color w:val="0000ff"/>
            <w:sz w:val="24"/>
          </w:rPr>
          <w:t xml:space="preserve">пунктах 2.5</w:t>
        </w:r>
      </w:hyperlink>
      <w:r>
        <w:rPr>
          <w:sz w:val="24"/>
        </w:rPr>
        <w:t xml:space="preserve"> - </w:t>
      </w:r>
      <w:hyperlink w:tooltip="2.7. Для участия в отборе СО НКО вправе представить не более одной заявки." w:anchor="P202" w:history="1">
        <w:r>
          <w:rPr>
            <w:color w:val="0000ff"/>
            <w:sz w:val="24"/>
          </w:rPr>
          <w:t xml:space="preserve">2.7</w:t>
        </w:r>
      </w:hyperlink>
      <w:r>
        <w:rPr>
          <w:sz w:val="24"/>
        </w:rPr>
        <w:t xml:space="preserve"> настоящего Порядка;</w:t>
      </w:r>
      <w:r/>
    </w:p>
    <w:p>
      <w:pPr>
        <w:pStyle w:val="617"/>
        <w:ind w:firstLine="540"/>
        <w:jc w:val="both"/>
        <w:spacing w:before="240"/>
      </w:pPr>
      <w:r>
        <w:rPr>
          <w:sz w:val="24"/>
        </w:rPr>
        <w:t xml:space="preserve">5) непредставление (представление не в полном объеме) участником отбора документов, указанных в объявлении, предусмотренных настоящим Порядком;</w:t>
      </w:r>
      <w:r/>
    </w:p>
    <w:p>
      <w:pPr>
        <w:pStyle w:val="617"/>
        <w:ind w:firstLine="540"/>
        <w:jc w:val="both"/>
        <w:spacing w:before="240"/>
      </w:pPr>
      <w:r>
        <w:rPr>
          <w:sz w:val="24"/>
        </w:rPr>
        <w:t xml:space="preserve">6)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r/>
    </w:p>
    <w:p>
      <w:pPr>
        <w:pStyle w:val="617"/>
        <w:ind w:firstLine="540"/>
        <w:jc w:val="both"/>
        <w:spacing w:before="240"/>
      </w:pPr>
      <w:r>
        <w:rPr>
          <w:sz w:val="24"/>
        </w:rPr>
        <w:t xml:space="preserve">7) подача участником отбора заявки после даты и(или) времени, определенных для подачи заявок;</w:t>
      </w:r>
      <w:r/>
    </w:p>
    <w:p>
      <w:pPr>
        <w:pStyle w:val="617"/>
        <w:ind w:firstLine="540"/>
        <w:jc w:val="both"/>
        <w:spacing w:before="240"/>
      </w:pPr>
      <w:r>
        <w:rPr>
          <w:sz w:val="24"/>
        </w:rPr>
        <w:t xml:space="preserve">8) несоответствие направления деятельности по проекту уставной деятельности участника отбора;</w:t>
      </w:r>
      <w:r/>
    </w:p>
    <w:p>
      <w:pPr>
        <w:pStyle w:val="617"/>
        <w:ind w:firstLine="540"/>
        <w:jc w:val="both"/>
        <w:spacing w:before="240"/>
      </w:pPr>
      <w:r>
        <w:rPr>
          <w:sz w:val="24"/>
        </w:rPr>
        <w:t xml:space="preserve">9) несоответствие направления проекта участника отбора направлению, указанному в объявлении.</w:t>
      </w:r>
      <w:r/>
    </w:p>
    <w:p>
      <w:pPr>
        <w:pStyle w:val="617"/>
        <w:ind w:firstLine="540"/>
        <w:jc w:val="both"/>
        <w:spacing w:before="240"/>
      </w:pPr>
      <w:r>
        <w:rPr>
          <w:sz w:val="24"/>
        </w:rPr>
        <w:t xml:space="preserve">При наличии оснований для отклонения заявки отклоняются в системе "Электронный бюджет".</w:t>
      </w:r>
      <w:r/>
    </w:p>
    <w:p>
      <w:pPr>
        <w:pStyle w:val="617"/>
        <w:ind w:firstLine="540"/>
        <w:jc w:val="both"/>
        <w:spacing w:before="240"/>
      </w:pPr>
      <w:r/>
      <w:bookmarkStart w:id="219" w:name="P219"/>
      <w:r/>
      <w:bookmarkEnd w:id="219"/>
      <w:r>
        <w:rPr>
          <w:sz w:val="24"/>
        </w:rPr>
        <w:t xml:space="preserve">2.13. Комитет в срок, указанный в </w:t>
      </w:r>
      <w:hyperlink w:tooltip="2.11. Комитет в срок, не превышающий 15 рабочих дней с даты окончания приема заявок, рассматривает представленные заявки и прилагаемые документы на соответствие направлений расходов, указанных участником отбора в заявке, требованиям, установленным пунктами 1.5 и 1.6 настоящего Порядка, на соответствие пунктам 2.5 - 2.7 настоящего Порядка и осуществляет проверку соответствия участника отбора категории получателей субсидии, установленной пунктом 1.7 настоящего Порядка, и требованиям, предусмотренным пункто..." w:anchor="P206" w:history="1">
        <w:r>
          <w:rPr>
            <w:color w:val="0000ff"/>
            <w:sz w:val="24"/>
          </w:rPr>
          <w:t xml:space="preserve">пункте 2.11</w:t>
        </w:r>
      </w:hyperlink>
      <w:r>
        <w:rPr>
          <w:sz w:val="24"/>
        </w:rPr>
        <w:t xml:space="preserve"> настоящего Порядка, принимает решение об определении заявок, допущенных к оценке, и(или) об отклонении заявок, которое оформляется правовым актом Комитета.</w:t>
      </w:r>
      <w:r/>
    </w:p>
    <w:p>
      <w:pPr>
        <w:pStyle w:val="617"/>
        <w:ind w:firstLine="540"/>
        <w:jc w:val="both"/>
        <w:spacing w:before="240"/>
      </w:pPr>
      <w:r>
        <w:rPr>
          <w:sz w:val="24"/>
        </w:rPr>
        <w:t xml:space="preserve">2.14. Протокол рассмотрения заявок автоматически формируется на едином портале на основании результатов расс</w:t>
      </w:r>
      <w:r>
        <w:rPr>
          <w:sz w:val="24"/>
        </w:rPr>
        <w:t xml:space="preserve">мотрения заявок и подписывается усиленной квалифицированной электронной подписью руководителя (уполномоченного им лица) Комитета в системе "Электронный бюджет" и размещается на едином портале не позднее 1-го рабочего дня, следующего за днем его подписания.</w:t>
      </w:r>
      <w:r/>
    </w:p>
    <w:p>
      <w:pPr>
        <w:pStyle w:val="617"/>
        <w:ind w:firstLine="540"/>
        <w:jc w:val="both"/>
        <w:spacing w:before="240"/>
      </w:pPr>
      <w:r>
        <w:rPr>
          <w:sz w:val="24"/>
        </w:rPr>
        <w:t xml:space="preserve">Протокол рассмотрения заявок, правовой акт Комитета, указанный в </w:t>
      </w:r>
      <w:hyperlink w:tooltip="2.13. Комитет в срок, указанный в пункте 2.11 настоящего Порядка, принимает решение об определении заявок, допущенных к оценке, и(или) об отклонении заявок, которое оформляется правовым актом Комитета." w:anchor="P219" w:history="1">
        <w:r>
          <w:rPr>
            <w:color w:val="0000ff"/>
            <w:sz w:val="24"/>
          </w:rPr>
          <w:t xml:space="preserve">пункте 2.13</w:t>
        </w:r>
      </w:hyperlink>
      <w:r>
        <w:rPr>
          <w:sz w:val="24"/>
        </w:rPr>
        <w:t xml:space="preserve"> настоящего Порядка, в течение пяти рабочих дней с даты принятия указанного правового акта Комитета размещаются также на официальном сайте Комитета и по адресу </w:t>
      </w:r>
      <w:hyperlink r:id="rId53" w:tooltip="https://ленобласть.гранты.рф" w:history="1">
        <w:r>
          <w:rPr>
            <w:color w:val="0000ff"/>
            <w:sz w:val="24"/>
          </w:rPr>
          <w:t xml:space="preserve">ленобласть.гранты.рф</w:t>
        </w:r>
      </w:hyperlink>
      <w:r>
        <w:rPr>
          <w:sz w:val="24"/>
        </w:rPr>
        <w:t xml:space="preserve">.</w:t>
      </w:r>
      <w:r/>
    </w:p>
    <w:p>
      <w:pPr>
        <w:pStyle w:val="617"/>
        <w:ind w:firstLine="540"/>
        <w:jc w:val="both"/>
        <w:spacing w:before="240"/>
      </w:pPr>
      <w:r/>
      <w:bookmarkStart w:id="222" w:name="P222"/>
      <w:r/>
      <w:bookmarkEnd w:id="222"/>
      <w:r>
        <w:rPr>
          <w:sz w:val="24"/>
        </w:rPr>
        <w:t xml:space="preserve">2.15. В целях определения состава экспертов для экспертизы заявок по направлению проекта, указанному в объявлении, формирования рейтинга заявок, а также определения проходного среднего балла по заявкам Комитетом создается Совет.</w:t>
      </w:r>
      <w:r/>
    </w:p>
    <w:p>
      <w:pPr>
        <w:pStyle w:val="617"/>
        <w:ind w:firstLine="540"/>
        <w:jc w:val="both"/>
        <w:spacing w:before="240"/>
      </w:pPr>
      <w:r>
        <w:rPr>
          <w:sz w:val="24"/>
        </w:rPr>
        <w:t xml:space="preserve">Совет и эксперты осуществляют свою деятельность в соответствии с Положением о деятельности Экспертного совета и экспертов, утвержденным правовым актом Комитета.</w:t>
      </w:r>
      <w:r/>
    </w:p>
    <w:p>
      <w:pPr>
        <w:pStyle w:val="617"/>
        <w:jc w:val="both"/>
      </w:pPr>
      <w:r>
        <w:rPr>
          <w:sz w:val="24"/>
        </w:rPr>
        <w:t xml:space="preserve">(в ред. </w:t>
      </w:r>
      <w:hyperlink r:id="rId54"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Состав Совета утверждается правовым актом Комитета.</w:t>
      </w:r>
      <w:r/>
    </w:p>
    <w:p>
      <w:pPr>
        <w:pStyle w:val="617"/>
        <w:ind w:firstLine="540"/>
        <w:jc w:val="both"/>
        <w:spacing w:before="240"/>
      </w:pPr>
      <w:r>
        <w:rPr>
          <w:sz w:val="24"/>
        </w:rPr>
        <w:t xml:space="preserve">2.16. Комитет не позднее 14 календарных дней с даты принятия решения об определении заявок, допущенных к оценке, организует проведение первого заседания Совета.</w:t>
      </w:r>
      <w:r/>
    </w:p>
    <w:p>
      <w:pPr>
        <w:pStyle w:val="617"/>
        <w:ind w:firstLine="540"/>
        <w:jc w:val="both"/>
        <w:spacing w:before="240"/>
      </w:pPr>
      <w:r>
        <w:rPr>
          <w:sz w:val="24"/>
        </w:rPr>
        <w:t xml:space="preserve">2.17. Заявки, допущенные к оценке, и информация о кандидатурах экспертов представляются Комитетом в Совет не позднее трех рабочих дней до даты первого заседания Совета.</w:t>
      </w:r>
      <w:r/>
    </w:p>
    <w:p>
      <w:pPr>
        <w:pStyle w:val="617"/>
        <w:ind w:firstLine="540"/>
        <w:jc w:val="both"/>
        <w:spacing w:before="240"/>
      </w:pPr>
      <w:r>
        <w:rPr>
          <w:sz w:val="24"/>
        </w:rPr>
        <w:t xml:space="preserve">Первое заседание Совета прово</w:t>
      </w:r>
      <w:r>
        <w:rPr>
          <w:sz w:val="24"/>
        </w:rPr>
        <w:t xml:space="preserve">дится не позднее семи рабочих дней с даты получения от Комитета заявок, допущенных к оценке, и информации о кандидатурах экспертов. На первом заседании Совет определяет состав из трех экспертов для экспертизы заявок по направлению, указанному в объявлении.</w:t>
      </w:r>
      <w:r/>
    </w:p>
    <w:p>
      <w:pPr>
        <w:pStyle w:val="617"/>
        <w:ind w:firstLine="540"/>
        <w:jc w:val="both"/>
        <w:spacing w:before="240"/>
      </w:pPr>
      <w:r>
        <w:rPr>
          <w:sz w:val="24"/>
        </w:rPr>
        <w:t xml:space="preserve">Протокол первого заседания Совета подлежит опубликованию в сети "Интернет" на официальном сайте Комитета и по адресу </w:t>
      </w:r>
      <w:hyperlink r:id="rId55" w:tooltip="https://ленобласть.гранты.рф" w:history="1">
        <w:r>
          <w:rPr>
            <w:color w:val="0000ff"/>
            <w:sz w:val="24"/>
          </w:rPr>
          <w:t xml:space="preserve">ленобласть.гранты.рф</w:t>
        </w:r>
      </w:hyperlink>
      <w:r>
        <w:rPr>
          <w:sz w:val="24"/>
        </w:rPr>
        <w:t xml:space="preserve">, за исключением информации об экспертах, в течение пяти календарных дней с даты подписания указанного протокола председательствующим на заседании Совета и секретарем Совета.</w:t>
      </w:r>
      <w:r/>
    </w:p>
    <w:p>
      <w:pPr>
        <w:pStyle w:val="617"/>
        <w:ind w:firstLine="540"/>
        <w:jc w:val="both"/>
        <w:spacing w:before="240"/>
      </w:pPr>
      <w:r>
        <w:rPr>
          <w:sz w:val="24"/>
        </w:rPr>
        <w:t xml:space="preserve">Комитет не позднее 10 рабочих дней с даты первого заседания Совета обеспечивает экспертам допуск к заявкам и прилагаемым к ним документам для проведения экспертизы.</w:t>
      </w:r>
      <w:r/>
    </w:p>
    <w:p>
      <w:pPr>
        <w:pStyle w:val="617"/>
        <w:ind w:firstLine="540"/>
        <w:jc w:val="both"/>
        <w:spacing w:before="240"/>
      </w:pPr>
      <w:r>
        <w:rPr>
          <w:sz w:val="24"/>
        </w:rPr>
        <w:t xml:space="preserve">2.18. Эксперты не позднее 15 рабочих дней со дня получения допуска к заявкам осуществляют экспертизу указанных заявок по направлению проекта, указанному в объявлении, в соответствии с критериями оценки заявок, указанными в </w:t>
      </w:r>
      <w:hyperlink w:tooltip="2.19. Критерии оценки заявок:" w:anchor="P232" w:history="1">
        <w:r>
          <w:rPr>
            <w:color w:val="0000ff"/>
            <w:sz w:val="24"/>
          </w:rPr>
          <w:t xml:space="preserve">пункте 2.19</w:t>
        </w:r>
      </w:hyperlink>
      <w:r>
        <w:rPr>
          <w:sz w:val="24"/>
        </w:rPr>
        <w:t xml:space="preserve"> настоящего Порядка, выставляя по каждому критерию оценки заявок от 0 до 100 баллов (целым числом) в системе "Электронный бюджет".</w:t>
      </w:r>
      <w:r/>
    </w:p>
    <w:p>
      <w:pPr>
        <w:pStyle w:val="617"/>
        <w:ind w:firstLine="540"/>
        <w:jc w:val="both"/>
        <w:spacing w:before="240"/>
      </w:pPr>
      <w:r/>
      <w:bookmarkStart w:id="232" w:name="P232"/>
      <w:r/>
      <w:bookmarkEnd w:id="232"/>
      <w:r>
        <w:rPr>
          <w:sz w:val="24"/>
        </w:rPr>
        <w:t xml:space="preserve">2.19. Критерии оценки заявок:</w:t>
      </w:r>
      <w:r/>
    </w:p>
    <w:p>
      <w:pPr>
        <w:pStyle w:val="617"/>
        <w:ind w:firstLine="540"/>
        <w:jc w:val="both"/>
        <w:spacing w:before="240"/>
      </w:pPr>
      <w:r>
        <w:rPr>
          <w:sz w:val="24"/>
        </w:rPr>
        <w:t xml:space="preserve">1) логическая связность и реализуемость проекта, соответствие мероприятий проекта его целям, задачам и ожидаемым результатам;</w:t>
      </w:r>
      <w:r/>
    </w:p>
    <w:p>
      <w:pPr>
        <w:pStyle w:val="617"/>
        <w:ind w:firstLine="540"/>
        <w:jc w:val="both"/>
        <w:spacing w:before="240"/>
      </w:pPr>
      <w:r>
        <w:rPr>
          <w:sz w:val="24"/>
        </w:rPr>
        <w:t xml:space="preserve">2) реалистичность бюджета проекта и обоснованность планируемых расходов на реализацию проекта;</w:t>
      </w:r>
      <w:r/>
    </w:p>
    <w:p>
      <w:pPr>
        <w:pStyle w:val="617"/>
        <w:ind w:firstLine="540"/>
        <w:jc w:val="both"/>
        <w:spacing w:before="240"/>
      </w:pPr>
      <w:r>
        <w:rPr>
          <w:sz w:val="24"/>
        </w:rPr>
        <w:t xml:space="preserve">3) софинансирование проекта (внебюджетные средства);</w:t>
      </w:r>
      <w:r/>
    </w:p>
    <w:p>
      <w:pPr>
        <w:pStyle w:val="617"/>
        <w:ind w:firstLine="540"/>
        <w:jc w:val="both"/>
        <w:spacing w:before="240"/>
      </w:pPr>
      <w:r>
        <w:rPr>
          <w:sz w:val="24"/>
        </w:rPr>
        <w:t xml:space="preserve">4) опыт участника отбора по успешной реализации аналогичных проектов;</w:t>
      </w:r>
      <w:r/>
    </w:p>
    <w:p>
      <w:pPr>
        <w:pStyle w:val="617"/>
        <w:ind w:firstLine="540"/>
        <w:jc w:val="both"/>
        <w:spacing w:before="240"/>
      </w:pPr>
      <w:r>
        <w:rPr>
          <w:sz w:val="24"/>
        </w:rPr>
        <w:t xml:space="preserve">5) охват территории, на которой представлена организация, и(или) количество благополучателей;</w:t>
      </w:r>
      <w:r/>
    </w:p>
    <w:p>
      <w:pPr>
        <w:pStyle w:val="617"/>
        <w:ind w:firstLine="540"/>
        <w:jc w:val="both"/>
        <w:spacing w:before="240"/>
      </w:pPr>
      <w:r>
        <w:rPr>
          <w:sz w:val="24"/>
        </w:rPr>
        <w:t xml:space="preserve">6) информационная открытость участника отбора.</w:t>
      </w:r>
      <w:r/>
    </w:p>
    <w:p>
      <w:pPr>
        <w:pStyle w:val="617"/>
        <w:ind w:firstLine="540"/>
        <w:jc w:val="both"/>
        <w:spacing w:before="240"/>
      </w:pPr>
      <w:r>
        <w:rPr>
          <w:sz w:val="24"/>
        </w:rPr>
        <w:t xml:space="preserve">Экспертиза заявок экспертами проводится в соответствии с Методическими </w:t>
      </w:r>
      <w:hyperlink w:tooltip="МЕТОДИЧЕСКИЕ РЕКОМЕНДАЦИИ" w:anchor="P427" w:history="1">
        <w:r>
          <w:rPr>
            <w:color w:val="0000ff"/>
            <w:sz w:val="24"/>
          </w:rPr>
          <w:t xml:space="preserve">рекомендациями</w:t>
        </w:r>
      </w:hyperlink>
      <w:r>
        <w:rPr>
          <w:sz w:val="24"/>
        </w:rPr>
        <w:t xml:space="preserve"> (приложение 2 к настоящему Порядку).</w:t>
      </w:r>
      <w:r/>
    </w:p>
    <w:p>
      <w:pPr>
        <w:pStyle w:val="617"/>
        <w:ind w:firstLine="540"/>
        <w:jc w:val="both"/>
        <w:spacing w:before="240"/>
      </w:pPr>
      <w:r>
        <w:rPr>
          <w:sz w:val="24"/>
        </w:rPr>
        <w:t xml:space="preserve">2.20. По результатам проведенной экспертами экспертизы заявок Советом определяется проходной средний балл по заявке по следующей формуле:</w:t>
      </w:r>
      <w:r/>
    </w:p>
    <w:p>
      <w:pPr>
        <w:pStyle w:val="617"/>
        <w:jc w:val="center"/>
      </w:pPr>
      <w:r>
        <w:rPr>
          <w:sz w:val="24"/>
        </w:rPr>
      </w:r>
      <w:r/>
    </w:p>
    <w:p>
      <w:pPr>
        <w:pStyle w:val="617"/>
        <w:jc w:val="center"/>
      </w:pPr>
      <w:r>
        <w:rPr>
          <w:position w:val="-28"/>
        </w:rPr>
        <mc:AlternateContent>
          <mc:Choice Requires="wpg">
            <w:drawing>
              <wp:inline xmlns:wp="http://schemas.openxmlformats.org/drawingml/2006/wordprocessingDrawing" distT="0" distB="0" distL="0" distR="0">
                <wp:extent cx="110871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r/>
                      </pic:nvPicPr>
                      <pic:blipFill>
                        <a:blip r:embed="rId56">
                          <a:extLst>
                            <a:ext uri="{96DAC541-7B7A-43D3-8B79-37D633B846F1}">
                              <asvg:svgBlip xmlns:asvg="http://schemas.microsoft.com/office/drawing/2016/SVG/main" r:embed="rId57"/>
                            </a:ext>
                          </a:extLst>
                        </a:blip>
                        <a:stretch/>
                      </pic:blipFill>
                      <pic:spPr bwMode="auto">
                        <a:xfrm>
                          <a:off x="0" y="0"/>
                          <a:ext cx="1108710" cy="514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87.30pt;height:40.50pt;mso-wrap-distance-left:0.00pt;mso-wrap-distance-top:0.00pt;mso-wrap-distance-right:0.00pt;mso-wrap-distance-bottom:0.00pt;" stroked="f">
                <v:path textboxrect="0,0,0,0"/>
                <v:imagedata r:id="rId56" o:title=""/>
              </v:shape>
            </w:pict>
          </mc:Fallback>
        </mc:AlternateContent>
      </w:r>
      <w:r/>
    </w:p>
    <w:p>
      <w:pPr>
        <w:pStyle w:val="617"/>
        <w:ind w:firstLine="540"/>
        <w:jc w:val="both"/>
      </w:pPr>
      <w:r>
        <w:rPr>
          <w:sz w:val="24"/>
        </w:rPr>
      </w:r>
      <w:r/>
    </w:p>
    <w:p>
      <w:pPr>
        <w:pStyle w:val="617"/>
        <w:ind w:firstLine="540"/>
        <w:jc w:val="both"/>
      </w:pPr>
      <w:r>
        <w:rPr>
          <w:sz w:val="24"/>
        </w:rPr>
        <w:t xml:space="preserve">где:</w:t>
      </w:r>
      <w:r/>
    </w:p>
    <w:p>
      <w:pPr>
        <w:pStyle w:val="617"/>
        <w:ind w:firstLine="540"/>
        <w:jc w:val="both"/>
        <w:spacing w:before="240"/>
      </w:pPr>
      <w:r>
        <w:rPr>
          <w:sz w:val="24"/>
        </w:rPr>
        <w:t xml:space="preserve">M - проходной средний балл по заявке;</w:t>
      </w:r>
      <w:r/>
    </w:p>
    <w:p>
      <w:pPr>
        <w:pStyle w:val="617"/>
        <w:ind w:firstLine="540"/>
        <w:jc w:val="both"/>
        <w:spacing w:before="240"/>
      </w:pPr>
      <w:r>
        <w:rPr>
          <w:sz w:val="24"/>
        </w:rPr>
        <w:t xml:space="preserve">X</w:t>
      </w:r>
      <w:r>
        <w:rPr>
          <w:sz w:val="24"/>
          <w:vertAlign w:val="subscript"/>
        </w:rPr>
        <w:t xml:space="preserve">i</w:t>
      </w:r>
      <w:r>
        <w:rPr>
          <w:sz w:val="24"/>
        </w:rPr>
        <w:t xml:space="preserve"> - количество баллов, присвоенных i-м экспертом по заявке, рассчитанное в соответствии с </w:t>
      </w:r>
      <w:hyperlink w:tooltip="2.3. Количество баллов каждого эксперта по заявке рассчитывается как сумма баллов, присвоенных заявке по каждому критерию оценки заявок, умноженных на весовое значение соответствующего критерия оценки заявок." w:anchor="P442" w:history="1">
        <w:r>
          <w:rPr>
            <w:color w:val="0000ff"/>
            <w:sz w:val="24"/>
          </w:rPr>
          <w:t xml:space="preserve">пунктом 2.3</w:t>
        </w:r>
      </w:hyperlink>
      <w:r>
        <w:rPr>
          <w:sz w:val="24"/>
        </w:rPr>
        <w:t xml:space="preserve"> Методических рекомендаций (приложение 2 к настоящему Порядку);</w:t>
      </w:r>
      <w:r/>
    </w:p>
    <w:p>
      <w:pPr>
        <w:pStyle w:val="617"/>
        <w:ind w:firstLine="540"/>
        <w:jc w:val="both"/>
        <w:spacing w:before="240"/>
      </w:pPr>
      <w:r>
        <w:rPr>
          <w:sz w:val="24"/>
        </w:rPr>
        <w:t xml:space="preserve">N - количество экспертов, участвующих в экспертизе заявки.</w:t>
      </w:r>
      <w:r/>
    </w:p>
    <w:p>
      <w:pPr>
        <w:pStyle w:val="617"/>
        <w:ind w:firstLine="540"/>
        <w:jc w:val="both"/>
      </w:pPr>
      <w:r>
        <w:rPr>
          <w:sz w:val="24"/>
        </w:rPr>
      </w:r>
      <w:r/>
    </w:p>
    <w:p>
      <w:pPr>
        <w:pStyle w:val="617"/>
        <w:ind w:firstLine="540"/>
        <w:jc w:val="both"/>
      </w:pPr>
      <w:r/>
      <w:bookmarkStart w:id="249" w:name="P249"/>
      <w:r/>
      <w:bookmarkEnd w:id="249"/>
      <w:r>
        <w:rPr>
          <w:sz w:val="24"/>
        </w:rPr>
        <w:t xml:space="preserve">2.21. Комитет не позднее семи рабочих дней с даты окончания экспертизы заявок экспертами передает информацию о баллах, выставленных экспертами по результатам проведения экспертизы заявок, в Совет.</w:t>
      </w:r>
      <w:r/>
    </w:p>
    <w:p>
      <w:pPr>
        <w:pStyle w:val="617"/>
        <w:ind w:firstLine="540"/>
        <w:jc w:val="both"/>
        <w:spacing w:before="240"/>
      </w:pPr>
      <w:r/>
      <w:bookmarkStart w:id="250" w:name="P250"/>
      <w:r/>
      <w:bookmarkEnd w:id="250"/>
      <w:r>
        <w:rPr>
          <w:sz w:val="24"/>
        </w:rPr>
        <w:t xml:space="preserve">2.22. Совет не позднее 10 рабочих дней с даты получения информации, указанной в </w:t>
      </w:r>
      <w:hyperlink w:tooltip="2.21. Комитет не позднее семи рабочих дней с даты окончания экспертизы заявок экспертами передает информацию о баллах, выставленных экспертами по результатам проведения экспертизы заявок, в Совет." w:anchor="P249" w:history="1">
        <w:r>
          <w:rPr>
            <w:color w:val="0000ff"/>
            <w:sz w:val="24"/>
          </w:rPr>
          <w:t xml:space="preserve">пункте 2.21</w:t>
        </w:r>
      </w:hyperlink>
      <w:r>
        <w:rPr>
          <w:sz w:val="24"/>
        </w:rPr>
        <w:t xml:space="preserve"> настоящего Порядка, проводит заседание, на котором:</w:t>
      </w:r>
      <w:r/>
    </w:p>
    <w:p>
      <w:pPr>
        <w:pStyle w:val="617"/>
        <w:ind w:firstLine="540"/>
        <w:jc w:val="both"/>
        <w:spacing w:before="240"/>
      </w:pPr>
      <w:r>
        <w:rPr>
          <w:sz w:val="24"/>
        </w:rPr>
        <w:t xml:space="preserve">с учетом баллов, выставленных экспертами по результатам про</w:t>
      </w:r>
      <w:r>
        <w:rPr>
          <w:sz w:val="24"/>
        </w:rPr>
        <w:t xml:space="preserve">ведения экспертизы заявок, определяет проходной средний балл в соответствии с Положением о деятельности Экспертного совета и экспертов, утвержденным правовым актом Комитета, и формирует рейтинг заявок согласно категории получателей субсидии, установленной </w:t>
      </w:r>
      <w:hyperlink w:tooltip="1.7. К категории получателей субсидии относятся СО НКО, зарегистрированные в качестве российского юридического лица на территории Ленинградской области в порядке, установленном законодательством Российской Федерации, и соответствующие одновременно следующим условиям:" w:anchor="P91" w:history="1">
        <w:r>
          <w:rPr>
            <w:color w:val="0000ff"/>
            <w:sz w:val="24"/>
          </w:rPr>
          <w:t xml:space="preserve">пунктом 1.7</w:t>
        </w:r>
      </w:hyperlink>
      <w:r>
        <w:rPr>
          <w:sz w:val="24"/>
        </w:rPr>
        <w:t xml:space="preserve"> настоящего Порядка, и правовому акту Комитета о проведении отбора, указанному в </w:t>
      </w:r>
      <w:hyperlink w:tooltip="2.1. Комитет осуществляет предоставление субсидии на реализацию СО НКО проектов по следующим направлениям:" w:anchor="P106" w:history="1">
        <w:r>
          <w:rPr>
            <w:color w:val="0000ff"/>
            <w:sz w:val="24"/>
          </w:rPr>
          <w:t xml:space="preserve">пункте 2.1</w:t>
        </w:r>
      </w:hyperlink>
      <w:r>
        <w:rPr>
          <w:sz w:val="24"/>
        </w:rPr>
        <w:t xml:space="preserve"> настоящего Порядка;</w:t>
      </w:r>
      <w:r/>
    </w:p>
    <w:p>
      <w:pPr>
        <w:pStyle w:val="617"/>
        <w:jc w:val="both"/>
      </w:pPr>
      <w:r>
        <w:rPr>
          <w:sz w:val="24"/>
        </w:rPr>
        <w:t xml:space="preserve">(в ред. </w:t>
      </w:r>
      <w:hyperlink r:id="rId58"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p>
      <w:pPr>
        <w:pStyle w:val="617"/>
        <w:ind w:firstLine="540"/>
        <w:jc w:val="both"/>
        <w:spacing w:before="240"/>
      </w:pPr>
      <w:r/>
      <w:bookmarkStart w:id="253" w:name="P253"/>
      <w:r/>
      <w:bookmarkEnd w:id="253"/>
      <w:r>
        <w:rPr>
          <w:sz w:val="24"/>
        </w:rPr>
        <w:t xml:space="preserve">с учетом информации об объеме бюджетных ассигнований, подлежащих распределению при отборе, Совет принимает решение о рекомендации участника отбора к предоставлению субсидии.</w:t>
      </w:r>
      <w:r/>
    </w:p>
    <w:p>
      <w:pPr>
        <w:pStyle w:val="617"/>
        <w:ind w:firstLine="540"/>
        <w:jc w:val="both"/>
        <w:spacing w:before="240"/>
      </w:pPr>
      <w:r>
        <w:rPr>
          <w:sz w:val="24"/>
        </w:rPr>
        <w:t xml:space="preserve">Рекомендованным к предоставлению субсидии признается тот участник отбора, заявка которого получила наиболее высокий балл.</w:t>
      </w:r>
      <w:r/>
    </w:p>
    <w:p>
      <w:pPr>
        <w:pStyle w:val="617"/>
        <w:ind w:firstLine="540"/>
        <w:jc w:val="both"/>
        <w:spacing w:before="240"/>
      </w:pPr>
      <w:r>
        <w:rPr>
          <w:sz w:val="24"/>
        </w:rPr>
        <w:t xml:space="preserve">В случае если в заявке участника отбора, рекомендованного к предоставлению субсидии в соответствии с </w:t>
      </w:r>
      <w:hyperlink w:tooltip="с учетом информации об объеме бюджетных ассигнований, подлежащих распределению при отборе, Совет принимает решение о рекомендации участника отбора к предоставлению субсидии." w:anchor="P253" w:history="1">
        <w:r>
          <w:rPr>
            <w:color w:val="0000ff"/>
            <w:sz w:val="24"/>
          </w:rPr>
          <w:t xml:space="preserve">абзацем третьим</w:t>
        </w:r>
      </w:hyperlink>
      <w:r>
        <w:rPr>
          <w:sz w:val="24"/>
        </w:rPr>
        <w:t xml:space="preserve"> настоящего пункта, размер запрашиваемой субсидии меньше объема бюджетных ассигнований, подлежащих распределению при</w:t>
      </w:r>
      <w:r>
        <w:rPr>
          <w:sz w:val="24"/>
        </w:rPr>
        <w:t xml:space="preserve"> отборе, рекомендованными к предоставлению субсидии поочередно признаются участники отбора, заявки которых следуют за участником отбора, рекомендованным к предоставлению субсидии, с учетом объема бюджетных ассигнований, подлежащих распределению при отборе.</w:t>
      </w:r>
      <w:r/>
    </w:p>
    <w:p>
      <w:pPr>
        <w:pStyle w:val="617"/>
        <w:ind w:firstLine="540"/>
        <w:jc w:val="both"/>
        <w:spacing w:before="240"/>
      </w:pPr>
      <w:r>
        <w:rPr>
          <w:sz w:val="24"/>
        </w:rPr>
        <w:t xml:space="preserve">Протокол заседания Совета в течение пяти календарных дней с даты его подписания председательствующим на заседании Совета и секретарем Совета размещается Комитетом в сети "Интернет" на официальном сайте Комитета и по адресу </w:t>
      </w:r>
      <w:hyperlink r:id="rId59" w:tooltip="https://ленобласть.гранты.рф" w:history="1">
        <w:r>
          <w:rPr>
            <w:color w:val="0000ff"/>
            <w:sz w:val="24"/>
          </w:rPr>
          <w:t xml:space="preserve">ленобласть.гранты.рф</w:t>
        </w:r>
      </w:hyperlink>
      <w:r>
        <w:rPr>
          <w:sz w:val="24"/>
        </w:rPr>
        <w:t xml:space="preserve">.</w:t>
      </w:r>
      <w:r/>
    </w:p>
    <w:p>
      <w:pPr>
        <w:pStyle w:val="617"/>
        <w:ind w:firstLine="540"/>
        <w:jc w:val="both"/>
        <w:spacing w:before="240"/>
      </w:pPr>
      <w:r/>
      <w:bookmarkStart w:id="257" w:name="P257"/>
      <w:r/>
      <w:bookmarkEnd w:id="257"/>
      <w:r>
        <w:rPr>
          <w:sz w:val="24"/>
        </w:rPr>
        <w:t xml:space="preserve">2.23. В срок не позднее 10 календарных дней с даты проведения заседания Совета, указанного в </w:t>
      </w:r>
      <w:hyperlink w:tooltip="2.22. Совет не позднее 10 рабочих дней с даты получения информации, указанной в пункте 2.21 настоящего Порядка, проводит заседание, на котором:" w:anchor="P250" w:history="1">
        <w:r>
          <w:rPr>
            <w:color w:val="0000ff"/>
            <w:sz w:val="24"/>
          </w:rPr>
          <w:t xml:space="preserve">пункте 2.22</w:t>
        </w:r>
      </w:hyperlink>
      <w:r>
        <w:rPr>
          <w:sz w:val="24"/>
        </w:rPr>
        <w:t xml:space="preserve"> настоящего Порядка, на основании рекомендаций, указанных в протоколе Совета, Комитет проводит оценку заявок, принимает на основании результатов оценки заявок решение о присвоении заявкам порядковых номеров и принимает с учетом оснований, указанных в </w:t>
      </w:r>
      <w:hyperlink w:tooltip="2.24. Основаниями для отказа получателю субсидии в предоставлении субсидии являются:" w:anchor="P266" w:history="1">
        <w:r>
          <w:rPr>
            <w:color w:val="0000ff"/>
            <w:sz w:val="24"/>
          </w:rPr>
          <w:t xml:space="preserve">пункте 2.24</w:t>
        </w:r>
      </w:hyperlink>
      <w:r>
        <w:rPr>
          <w:sz w:val="24"/>
        </w:rPr>
        <w:t xml:space="preserve"> настоящего Порядка, решение о предоставлении либо об отказе в предоставлении субсидии, которое оформляется правовым актом Комитета и в течение пяти календарных дней с даты его принятия размещается на официальном сайте Комитета и по адресу </w:t>
      </w:r>
      <w:hyperlink r:id="rId60" w:tooltip="https://ленобласть.гранты.рф" w:history="1">
        <w:r>
          <w:rPr>
            <w:color w:val="0000ff"/>
            <w:sz w:val="24"/>
          </w:rPr>
          <w:t xml:space="preserve">ленобласть.гранты.рф</w:t>
        </w:r>
      </w:hyperlink>
      <w:r>
        <w:rPr>
          <w:sz w:val="24"/>
        </w:rPr>
        <w:t xml:space="preserve">.</w:t>
      </w:r>
      <w:r/>
    </w:p>
    <w:p>
      <w:pPr>
        <w:pStyle w:val="617"/>
        <w:ind w:firstLine="540"/>
        <w:jc w:val="both"/>
        <w:spacing w:before="240"/>
      </w:pPr>
      <w:r>
        <w:rPr>
          <w:sz w:val="24"/>
        </w:rPr>
        <w:t xml:space="preserve">Протокол подведения итогов отбора и решение о предоставлении либо об отказе в предоставлении субсидии содержат сведения о результатах отбора, включающие:</w:t>
      </w:r>
      <w:r/>
    </w:p>
    <w:p>
      <w:pPr>
        <w:pStyle w:val="617"/>
        <w:ind w:firstLine="540"/>
        <w:jc w:val="both"/>
        <w:spacing w:before="240"/>
      </w:pPr>
      <w:r>
        <w:rPr>
          <w:sz w:val="24"/>
        </w:rPr>
        <w:t xml:space="preserve">дату, время и место проведения рассмотрения заявок;</w:t>
      </w:r>
      <w:r/>
    </w:p>
    <w:p>
      <w:pPr>
        <w:pStyle w:val="617"/>
        <w:ind w:firstLine="540"/>
        <w:jc w:val="both"/>
        <w:spacing w:before="240"/>
      </w:pPr>
      <w:r>
        <w:rPr>
          <w:sz w:val="24"/>
        </w:rPr>
        <w:t xml:space="preserve">дату, время и место оценки заявок;</w:t>
      </w:r>
      <w:r/>
    </w:p>
    <w:p>
      <w:pPr>
        <w:pStyle w:val="617"/>
        <w:ind w:firstLine="540"/>
        <w:jc w:val="both"/>
        <w:spacing w:before="240"/>
      </w:pPr>
      <w:r>
        <w:rPr>
          <w:sz w:val="24"/>
        </w:rPr>
        <w:t xml:space="preserve">информацию об участниках отбора, заявки которых были рассмотрены;</w:t>
      </w:r>
      <w:r/>
    </w:p>
    <w:p>
      <w:pPr>
        <w:pStyle w:val="617"/>
        <w:ind w:firstLine="540"/>
        <w:jc w:val="both"/>
        <w:spacing w:before="240"/>
      </w:pPr>
      <w:r>
        <w:rPr>
          <w:sz w:val="24"/>
        </w:rPr>
        <w:t xml:space="preserve">информацию об участниках отбора, заявки которых были отклонены, с указанием причин их отклонения, в том числе положений объявления, которым не соответствуют заявки;</w:t>
      </w:r>
      <w:r/>
    </w:p>
    <w:p>
      <w:pPr>
        <w:pStyle w:val="617"/>
        <w:ind w:firstLine="540"/>
        <w:jc w:val="both"/>
        <w:spacing w:before="240"/>
      </w:pPr>
      <w:r>
        <w:rPr>
          <w:sz w:val="24"/>
        </w:rPr>
        <w:t xml:space="preserve">последовательность оценки заявок, присвоенные заявкам значения по каждому из предусмотренных критериев оценки заявок, принятое на основании результатов оценки заявок решение о присвоении заявкам порядковых номеров;</w:t>
      </w:r>
      <w:r/>
    </w:p>
    <w:p>
      <w:pPr>
        <w:pStyle w:val="617"/>
        <w:ind w:firstLine="540"/>
        <w:jc w:val="both"/>
        <w:spacing w:before="240"/>
      </w:pPr>
      <w:r>
        <w:rPr>
          <w:sz w:val="24"/>
        </w:rPr>
        <w:t xml:space="preserve">наименование получателя (получателей) субсидии, с которым заключается соглашение, и размер предоставляемой ему субсидии.</w:t>
      </w:r>
      <w:r/>
    </w:p>
    <w:p>
      <w:pPr>
        <w:pStyle w:val="617"/>
        <w:ind w:firstLine="540"/>
        <w:jc w:val="both"/>
        <w:spacing w:before="240"/>
      </w:pPr>
      <w:r>
        <w:rPr>
          <w:sz w:val="24"/>
        </w:rPr>
        <w:t xml:space="preserve">Решение о п</w:t>
      </w:r>
      <w:r>
        <w:rPr>
          <w:sz w:val="24"/>
        </w:rPr>
        <w:t xml:space="preserve">редоставлении либо об отказе в предоставлении субсидии содержит дополнительно сведения об основном государственном регистрационном номере и(или) идентификационном номере налогоплательщика - получателя (получателей) субсидии и(или) краткое описание проекта.</w:t>
      </w:r>
      <w:r/>
    </w:p>
    <w:p>
      <w:pPr>
        <w:pStyle w:val="617"/>
        <w:ind w:firstLine="540"/>
        <w:jc w:val="both"/>
        <w:spacing w:before="240"/>
      </w:pPr>
      <w:r/>
      <w:bookmarkStart w:id="266" w:name="P266"/>
      <w:r/>
      <w:bookmarkEnd w:id="266"/>
      <w:r>
        <w:rPr>
          <w:sz w:val="24"/>
        </w:rPr>
        <w:t xml:space="preserve">2.24. Основаниями для отказа получателю субсидии в предоставлении субсидии являются:</w:t>
      </w:r>
      <w:r/>
    </w:p>
    <w:p>
      <w:pPr>
        <w:pStyle w:val="617"/>
        <w:ind w:firstLine="540"/>
        <w:jc w:val="both"/>
        <w:spacing w:before="240"/>
      </w:pPr>
      <w:r>
        <w:rPr>
          <w:sz w:val="24"/>
        </w:rPr>
        <w:t xml:space="preserve">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r/>
    </w:p>
    <w:p>
      <w:pPr>
        <w:pStyle w:val="617"/>
        <w:ind w:firstLine="540"/>
        <w:jc w:val="both"/>
        <w:spacing w:before="240"/>
      </w:pPr>
      <w:r>
        <w:rPr>
          <w:sz w:val="24"/>
        </w:rPr>
        <w:t xml:space="preserve">установление факта недостоверности представленной получателем субсидии информации.</w:t>
      </w:r>
      <w:r/>
    </w:p>
    <w:p>
      <w:pPr>
        <w:pStyle w:val="617"/>
        <w:ind w:firstLine="540"/>
        <w:jc w:val="both"/>
        <w:spacing w:before="240"/>
      </w:pPr>
      <w:r>
        <w:rPr>
          <w:sz w:val="24"/>
        </w:rPr>
        <w:t xml:space="preserve">2.25. Отбор получателей субсидии признается несостоявшимся в следующих случаях:</w:t>
      </w:r>
      <w:r/>
    </w:p>
    <w:p>
      <w:pPr>
        <w:pStyle w:val="617"/>
        <w:ind w:firstLine="540"/>
        <w:jc w:val="both"/>
        <w:spacing w:before="240"/>
      </w:pPr>
      <w:r>
        <w:rPr>
          <w:sz w:val="24"/>
        </w:rPr>
        <w:t xml:space="preserve">на дату окончания приема заявок не подано ни одной заявки;</w:t>
      </w:r>
      <w:r/>
    </w:p>
    <w:p>
      <w:pPr>
        <w:pStyle w:val="617"/>
        <w:ind w:firstLine="540"/>
        <w:jc w:val="both"/>
        <w:spacing w:before="240"/>
      </w:pPr>
      <w:r>
        <w:rPr>
          <w:sz w:val="24"/>
        </w:rPr>
        <w:t xml:space="preserve">по результатам рассмотрения заявок отклонены все заявки.</w:t>
      </w:r>
      <w:r/>
    </w:p>
    <w:p>
      <w:pPr>
        <w:pStyle w:val="617"/>
        <w:ind w:firstLine="540"/>
        <w:jc w:val="both"/>
        <w:spacing w:before="240"/>
      </w:pPr>
      <w:r>
        <w:rPr>
          <w:sz w:val="24"/>
        </w:rPr>
        <w:t xml:space="preserve">Объявление о признании отбора несостоявшимся формируется в электронной форме посредством заполнения соот</w:t>
      </w:r>
      <w:r>
        <w:rPr>
          <w:sz w:val="24"/>
        </w:rPr>
        <w:t xml:space="preserve">ветствующих экранных форм веб-интерфейса системы "Электронный бюджет", подписывается усиленной квалифицированной электронной подписью руководителя (уполномоченного им лица) Комитета, размещается на едином портале, на официальном сайте Комитета и по адресу </w:t>
      </w:r>
      <w:hyperlink r:id="rId61" w:tooltip="https://ленобласть.гранты.рф" w:history="1">
        <w:r>
          <w:rPr>
            <w:color w:val="0000ff"/>
            <w:sz w:val="24"/>
          </w:rPr>
          <w:t xml:space="preserve">ленобласть.гранты.рф</w:t>
        </w:r>
      </w:hyperlink>
      <w:r>
        <w:rPr>
          <w:sz w:val="24"/>
        </w:rPr>
        <w:t xml:space="preserve"> и содержит информацию о причинах признания отбора несостоявшимся.</w:t>
      </w:r>
      <w:r/>
    </w:p>
    <w:p>
      <w:pPr>
        <w:pStyle w:val="617"/>
        <w:ind w:firstLine="540"/>
        <w:jc w:val="both"/>
        <w:spacing w:before="240"/>
      </w:pPr>
      <w:r>
        <w:rPr>
          <w:sz w:val="24"/>
        </w:rPr>
        <w:t xml:space="preserve">Участники отбора, подавшие заявки, информируются о признании отбора несостоявшимся в системе "Электронный бюджет".</w:t>
      </w:r>
      <w:r/>
    </w:p>
    <w:p>
      <w:pPr>
        <w:pStyle w:val="617"/>
        <w:ind w:firstLine="540"/>
        <w:jc w:val="both"/>
        <w:spacing w:before="240"/>
      </w:pPr>
      <w:r>
        <w:rPr>
          <w:sz w:val="24"/>
        </w:rPr>
        <w:t xml:space="preserve">Отбор считается несостоявшимся с даты размещения объявления о признании отбора несостоявшимся на едином портале.</w:t>
      </w:r>
      <w:r/>
    </w:p>
    <w:p>
      <w:pPr>
        <w:pStyle w:val="617"/>
        <w:ind w:firstLine="540"/>
        <w:jc w:val="both"/>
        <w:spacing w:before="240"/>
      </w:pPr>
      <w:r>
        <w:rPr>
          <w:sz w:val="24"/>
        </w:rPr>
        <w:t xml:space="preserve">2.26. Отбор отменяется в случае уменьшения бюджетных ассигнований, утвержденных на соответствующий финансовый год Комитету на цели, указанные в </w:t>
      </w:r>
      <w:hyperlink w:tooltip="1.4. Субсидия предоставляется в целях развития институтов гражданского общества, оказания социальной поддержки и защиты ветеранов, &quot;серебряных&quot; волонтеров и(или) инвалидов в рамках государственной программы Ленинградской области &quot;Устойчивое общественное развитие в Ленинградской области&quot;." w:anchor="P74" w:history="1">
        <w:r>
          <w:rPr>
            <w:color w:val="0000ff"/>
            <w:sz w:val="24"/>
          </w:rPr>
          <w:t xml:space="preserve">пункте 1.4</w:t>
        </w:r>
      </w:hyperlink>
      <w:r>
        <w:rPr>
          <w:sz w:val="24"/>
        </w:rPr>
        <w:t xml:space="preserve"> настоящего Порядка.</w:t>
      </w:r>
      <w:r/>
    </w:p>
    <w:p>
      <w:pPr>
        <w:pStyle w:val="617"/>
        <w:ind w:firstLine="540"/>
        <w:jc w:val="both"/>
        <w:spacing w:before="240"/>
      </w:pPr>
      <w:r>
        <w:rPr>
          <w:sz w:val="24"/>
        </w:rPr>
        <w:t xml:space="preserve">Размещение Комитетом объявления об отмене проведения отбора допускается не позднее чем за один рабочий день до даты окончания приема заявок.</w:t>
      </w:r>
      <w:r/>
    </w:p>
    <w:p>
      <w:pPr>
        <w:pStyle w:val="617"/>
        <w:ind w:firstLine="540"/>
        <w:jc w:val="both"/>
        <w:spacing w:before="240"/>
      </w:pPr>
      <w:r>
        <w:rPr>
          <w:sz w:val="24"/>
        </w:rPr>
        <w:t xml:space="preserve">Объявление об отмене отбора формируется в электронной форме посредством заполнения соот</w:t>
      </w:r>
      <w:r>
        <w:rPr>
          <w:sz w:val="24"/>
        </w:rPr>
        <w:t xml:space="preserve">ветствующих экранных форм веб-интерфейса системы "Электронный бюджет", подписывается усиленной квалифицированной электронной подписью руководителя (уполномоченного им лица) Комитета, размещается на едином портале, на официальном сайте Комитета и по адресу </w:t>
      </w:r>
      <w:hyperlink r:id="rId62" w:tooltip="https://ленобласть.гранты.рф" w:history="1">
        <w:r>
          <w:rPr>
            <w:color w:val="0000ff"/>
            <w:sz w:val="24"/>
          </w:rPr>
          <w:t xml:space="preserve">ленобласть.гранты.рф</w:t>
        </w:r>
      </w:hyperlink>
      <w:r>
        <w:rPr>
          <w:sz w:val="24"/>
        </w:rPr>
        <w:t xml:space="preserve"> и содержит информацию о причинах отмены отбора.</w:t>
      </w:r>
      <w:r/>
    </w:p>
    <w:p>
      <w:pPr>
        <w:pStyle w:val="617"/>
        <w:ind w:firstLine="540"/>
        <w:jc w:val="both"/>
        <w:spacing w:before="240"/>
      </w:pPr>
      <w:r>
        <w:rPr>
          <w:sz w:val="24"/>
        </w:rPr>
        <w:t xml:space="preserve">Участники отбора, подавшие заявки, информируются об отмене проведения отбора в системе "Электронный бюджет".</w:t>
      </w:r>
      <w:r/>
    </w:p>
    <w:p>
      <w:pPr>
        <w:pStyle w:val="617"/>
        <w:ind w:firstLine="540"/>
        <w:jc w:val="both"/>
        <w:spacing w:before="240"/>
      </w:pPr>
      <w:r>
        <w:rPr>
          <w:sz w:val="24"/>
        </w:rPr>
        <w:t xml:space="preserve">Отбор считается отмененным с даты размещения объявления о его отмене на едином портале.</w:t>
      </w:r>
      <w:r/>
    </w:p>
    <w:p>
      <w:pPr>
        <w:pStyle w:val="617"/>
        <w:jc w:val="center"/>
      </w:pPr>
      <w:r>
        <w:rPr>
          <w:sz w:val="24"/>
        </w:rPr>
      </w:r>
      <w:r/>
    </w:p>
    <w:p>
      <w:pPr>
        <w:pStyle w:val="619"/>
        <w:jc w:val="center"/>
        <w:outlineLvl w:val="1"/>
      </w:pPr>
      <w:r>
        <w:rPr>
          <w:sz w:val="24"/>
        </w:rPr>
        <w:t xml:space="preserve">3. Условия и порядок предоставления субсидии</w:t>
      </w:r>
      <w:r/>
    </w:p>
    <w:p>
      <w:pPr>
        <w:pStyle w:val="617"/>
        <w:jc w:val="center"/>
      </w:pPr>
      <w:r>
        <w:rPr>
          <w:sz w:val="24"/>
        </w:rPr>
      </w:r>
      <w:r/>
    </w:p>
    <w:p>
      <w:pPr>
        <w:pStyle w:val="617"/>
        <w:ind w:firstLine="540"/>
        <w:jc w:val="both"/>
      </w:pPr>
      <w:r/>
      <w:bookmarkStart w:id="283" w:name="P283"/>
      <w:r/>
      <w:bookmarkEnd w:id="283"/>
      <w:r>
        <w:rPr>
          <w:sz w:val="24"/>
        </w:rPr>
        <w:t xml:space="preserve">3.1. Субсидия предоставляе</w:t>
      </w:r>
      <w:r>
        <w:rPr>
          <w:sz w:val="24"/>
        </w:rPr>
        <w:t xml:space="preserve">тся на основании соглашения, заключенного между Комитетом и получателем субсидии, не позднее 50 рабочих дней со дня принятия решения о предоставления субсидии по типовой форме, утвержденной Комитетом финансов Ленинградской области, включающего в том числе:</w:t>
      </w:r>
      <w:r/>
    </w:p>
    <w:p>
      <w:pPr>
        <w:pStyle w:val="617"/>
        <w:ind w:firstLine="540"/>
        <w:jc w:val="both"/>
        <w:spacing w:before="240"/>
      </w:pPr>
      <w:r>
        <w:rPr>
          <w:sz w:val="24"/>
        </w:rPr>
        <w:t xml:space="preserve">согласие получателя субсидии на осуществление в отно</w:t>
      </w:r>
      <w:r>
        <w:rPr>
          <w:sz w:val="24"/>
        </w:rPr>
        <w:t xml:space="preserve">шении него проверки Комитетом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Ленинградской области в соответствии со </w:t>
      </w:r>
      <w:hyperlink r:id="rId63" w:tooltip="&quot;Бюджетный кодекс Российской Федерации&quot; от 31.07.1998 N 145-ФЗ (ред. от 26.06.2026) (с изм. и доп., вступ. в силу с 01.09.2026) {КонсультантПлюс}" w:history="1">
        <w:r>
          <w:rPr>
            <w:color w:val="0000ff"/>
            <w:sz w:val="24"/>
          </w:rPr>
          <w:t xml:space="preserve">статьями 268.1</w:t>
        </w:r>
      </w:hyperlink>
      <w:r>
        <w:rPr>
          <w:sz w:val="24"/>
        </w:rPr>
        <w:t xml:space="preserve"> и </w:t>
      </w:r>
      <w:hyperlink r:id="rId64" w:tooltip="&quot;Бюджетный кодекс Российской Федерации&quot; от 31.07.1998 N 145-ФЗ (ред. от 26.06.2026) (с изм. и доп., вступ. в силу с 01.09.2026) {КонсультантПлюс}" w:history="1">
        <w:r>
          <w:rPr>
            <w:color w:val="0000ff"/>
            <w:sz w:val="24"/>
          </w:rPr>
          <w:t xml:space="preserve">269.2</w:t>
        </w:r>
      </w:hyperlink>
      <w:r>
        <w:rPr>
          <w:sz w:val="24"/>
        </w:rPr>
        <w:t xml:space="preserve"> Бюджетного кодекса Российской Федерации;</w:t>
      </w:r>
      <w:r/>
    </w:p>
    <w:p>
      <w:pPr>
        <w:pStyle w:val="617"/>
        <w:ind w:firstLine="540"/>
        <w:jc w:val="both"/>
        <w:spacing w:before="240"/>
      </w:pPr>
      <w:r>
        <w:rPr>
          <w:sz w:val="24"/>
        </w:rPr>
        <w:t xml:space="preserve">условие о достижении получателем субсидии результата предоставления субсидии и характеристик результата;</w:t>
      </w:r>
      <w:r/>
    </w:p>
    <w:p>
      <w:pPr>
        <w:pStyle w:val="617"/>
        <w:ind w:firstLine="540"/>
        <w:jc w:val="both"/>
        <w:spacing w:before="240"/>
      </w:pPr>
      <w:r>
        <w:rPr>
          <w:sz w:val="24"/>
        </w:rPr>
        <w:t xml:space="preserve">обязательство получателя субсидии представлять документы и материалы, оказывать с</w:t>
      </w:r>
      <w:r>
        <w:rPr>
          <w:sz w:val="24"/>
        </w:rPr>
        <w:t xml:space="preserve">одействие Комитету и(или) органам государственного финансового контроля Ленинградской области по их обращениям при проверке соблюдения получателем субсидии условий и порядка предоставления субсидии, а также обязательств в соответствии с настоящим Порядком;</w:t>
      </w:r>
      <w:r/>
    </w:p>
    <w:p>
      <w:pPr>
        <w:pStyle w:val="617"/>
        <w:ind w:firstLine="540"/>
        <w:jc w:val="both"/>
        <w:spacing w:before="240"/>
      </w:pPr>
      <w:r>
        <w:rPr>
          <w:sz w:val="24"/>
        </w:rPr>
        <w:t xml:space="preserve">обязательство получателя субсидии обеспечить исполнение требований Комитета и(или) органов государственного финансового контроля Ленинградской области о возврате средств субсидии в областной бюджет согласно </w:t>
      </w:r>
      <w:hyperlink w:tooltip="5.3. В случае нарушения получателем субсидии условий и порядка, установленных при предоставлении субсидии, выявленных в том числе по фактам проверок, проведенных Комитетом и органом государственного финансового контроля, а также в случае недостижения значения результата предоставления субсидии средства субсидии, использованные с нарушением, а также остаток субсидии (сумма, которая не была использована получателем субсидии за период со дня ее получения получателем субсидии до дня получения требования, ука..." w:anchor="P363" w:history="1">
        <w:r>
          <w:rPr>
            <w:color w:val="0000ff"/>
            <w:sz w:val="24"/>
          </w:rPr>
          <w:t xml:space="preserve">пунктам 5.3</w:t>
        </w:r>
      </w:hyperlink>
      <w:r>
        <w:rPr>
          <w:sz w:val="24"/>
        </w:rPr>
        <w:t xml:space="preserve"> и </w:t>
      </w:r>
      <w:hyperlink w:tooltip="5.4. В случае недостижения получателем субсидии значений характеристик результата средства субсидии подлежат возврату, размер подлежащих возврату средств рассчитывается по формуле:" w:anchor="P366" w:history="1">
        <w:r>
          <w:rPr>
            <w:color w:val="0000ff"/>
            <w:sz w:val="24"/>
          </w:rPr>
          <w:t xml:space="preserve">5.4</w:t>
        </w:r>
      </w:hyperlink>
      <w:r>
        <w:rPr>
          <w:sz w:val="24"/>
        </w:rPr>
        <w:t xml:space="preserve"> настоящего Порядка;</w:t>
      </w:r>
      <w:r/>
    </w:p>
    <w:p>
      <w:pPr>
        <w:pStyle w:val="617"/>
        <w:ind w:firstLine="540"/>
        <w:jc w:val="both"/>
        <w:spacing w:before="240"/>
      </w:pPr>
      <w:r>
        <w:rPr>
          <w:sz w:val="24"/>
        </w:rPr>
        <w:t xml:space="preserve">обязательство </w:t>
      </w:r>
      <w:r>
        <w:rPr>
          <w:sz w:val="24"/>
        </w:rPr>
        <w:t xml:space="preserve">получателя субсидии о включении в договоры (соглашения), заключенные в целях исполнения обязательств по соглашению, положения о согласии лиц, являющихся поставщиками (подрядчиками, исполнителями) (за исключением государственных (муниципальных) унитарных пр</w:t>
      </w:r>
      <w:r>
        <w:rPr>
          <w:sz w:val="24"/>
        </w:rPr>
        <w:t xml:space="preserve">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Комитетом </w:t>
      </w:r>
      <w:r>
        <w:rPr>
          <w:sz w:val="24"/>
        </w:rPr>
        <w:t xml:space="preserve">проверок соблюдения получателем субсидии условий и порядка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Ленинградской области в соответствии со </w:t>
      </w:r>
      <w:hyperlink r:id="rId65" w:tooltip="&quot;Бюджетный кодекс Российской Федерации&quot; от 31.07.1998 N 145-ФЗ (ред. от 26.06.2026) (с изм. и доп., вступ. в силу с 01.09.2026) {КонсультантПлюс}" w:history="1">
        <w:r>
          <w:rPr>
            <w:color w:val="0000ff"/>
            <w:sz w:val="24"/>
          </w:rPr>
          <w:t xml:space="preserve">статьями 268.1</w:t>
        </w:r>
      </w:hyperlink>
      <w:r>
        <w:rPr>
          <w:sz w:val="24"/>
        </w:rPr>
        <w:t xml:space="preserve"> и </w:t>
      </w:r>
      <w:hyperlink r:id="rId66" w:tooltip="&quot;Бюджетный кодекс Российской Федерации&quot; от 31.07.1998 N 145-ФЗ (ред. от 26.06.2026) (с изм. и доп., вступ. в силу с 01.09.2026) {КонсультантПлюс}" w:history="1">
        <w:r>
          <w:rPr>
            <w:color w:val="0000ff"/>
            <w:sz w:val="24"/>
          </w:rPr>
          <w:t xml:space="preserve">269.2</w:t>
        </w:r>
      </w:hyperlink>
      <w:r>
        <w:rPr>
          <w:sz w:val="24"/>
        </w:rPr>
        <w:t xml:space="preserve"> Бюджетного кодекса Российской Федерации;</w:t>
      </w:r>
      <w:r/>
    </w:p>
    <w:p>
      <w:pPr>
        <w:pStyle w:val="617"/>
        <w:ind w:firstLine="540"/>
        <w:jc w:val="both"/>
        <w:spacing w:before="240"/>
      </w:pPr>
      <w:r>
        <w:rPr>
          <w:sz w:val="24"/>
        </w:rPr>
        <w:t xml:space="preserve">требование о согласовании новых условий соглашения, заключении дополните</w:t>
      </w:r>
      <w:r>
        <w:rPr>
          <w:sz w:val="24"/>
        </w:rPr>
        <w:t xml:space="preserve">льного соглашения или расторжении соглашения при недостижении согласия по новым условиям в случае уменьшения Комитету ранее доведенных лимитов бюджетных обязательств, приводящего к невозможности предоставления субсидии в размере, определенном в соглашении;</w:t>
      </w:r>
      <w:r/>
    </w:p>
    <w:p>
      <w:pPr>
        <w:pStyle w:val="617"/>
        <w:ind w:firstLine="540"/>
        <w:jc w:val="both"/>
        <w:spacing w:before="240"/>
      </w:pPr>
      <w:r>
        <w:rPr>
          <w:sz w:val="24"/>
        </w:rPr>
        <w:t xml:space="preserve">требов</w:t>
      </w:r>
      <w:r>
        <w:rPr>
          <w:sz w:val="24"/>
        </w:rPr>
        <w:t xml:space="preserve">ание о заключении дополнительного соглашения к соглашению при реорганизации получателя субсидии в форме слияния, присоединения или преобразования в части перемены лица в обязательстве с указанием в соглашении юридического лица, являющегося правопреемником;</w:t>
      </w:r>
      <w:r/>
    </w:p>
    <w:p>
      <w:pPr>
        <w:pStyle w:val="617"/>
        <w:ind w:firstLine="540"/>
        <w:jc w:val="both"/>
        <w:spacing w:before="240"/>
      </w:pPr>
      <w:r>
        <w:rPr>
          <w:sz w:val="24"/>
        </w:rPr>
        <w:t xml:space="preserve">требование о расторжении соглашения при реорганизации получателя субсидии в форме разделения, выделения, а также при ликвидации получателя субсидии с формированием уведомления о расторжении соглашения в одностороннем поря</w:t>
      </w:r>
      <w:r>
        <w:rPr>
          <w:sz w:val="24"/>
        </w:rPr>
        <w:t xml:space="preserve">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r/>
    </w:p>
    <w:p>
      <w:pPr>
        <w:pStyle w:val="617"/>
        <w:ind w:firstLine="540"/>
        <w:jc w:val="both"/>
        <w:spacing w:before="240"/>
      </w:pPr>
      <w:r>
        <w:rPr>
          <w:sz w:val="24"/>
        </w:rPr>
        <w:t xml:space="preserve">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Комитетом по согласованию с Комитетом финансов Ленинградской области в установленном в соотв</w:t>
      </w:r>
      <w:r>
        <w:rPr>
          <w:sz w:val="24"/>
        </w:rPr>
        <w:t xml:space="preserve">етствии с нормативными правовыми актами Ленинградской области порядке решения о наличии потребности в указанных средствах или обязанность возврата указанных средств при отсутствии в них потребности в порядке и сроки, которые определены в настоящем Порядке;</w:t>
      </w:r>
      <w:r/>
    </w:p>
    <w:p>
      <w:pPr>
        <w:pStyle w:val="617"/>
        <w:ind w:firstLine="540"/>
        <w:jc w:val="both"/>
        <w:spacing w:before="240"/>
      </w:pPr>
      <w:r>
        <w:rPr>
          <w:sz w:val="24"/>
        </w:rPr>
        <w:t xml:space="preserve">обязате</w:t>
      </w:r>
      <w:r>
        <w:rPr>
          <w:sz w:val="24"/>
        </w:rPr>
        <w:t xml:space="preserve">льство получателя субсидии сообщить в Комитет о признании его победителем конкурса Фонда президентских грантов и(или) Президентского фонда культурных инициатив на реализацию проекта, указанного в заявке, в течение пяти рабочих дней с даты такого признания;</w:t>
      </w:r>
      <w:r/>
    </w:p>
    <w:p>
      <w:pPr>
        <w:pStyle w:val="617"/>
        <w:jc w:val="both"/>
      </w:pPr>
      <w:r>
        <w:rPr>
          <w:sz w:val="24"/>
        </w:rPr>
        <w:t xml:space="preserve">(абзац введен </w:t>
      </w:r>
      <w:hyperlink r:id="rId67" w:tooltip="Постановление Правительства Ленинградской области от 17.12.2024 N 924 &quot;О внесении изменений в отдельные постановления Правительства Ленинградской области&quot; {КонсультантПлюс}" w:history="1">
        <w:r>
          <w:rPr>
            <w:color w:val="0000ff"/>
            <w:sz w:val="24"/>
          </w:rPr>
          <w:t xml:space="preserve">Постановлением</w:t>
        </w:r>
      </w:hyperlink>
      <w:r>
        <w:rPr>
          <w:sz w:val="24"/>
        </w:rPr>
        <w:t xml:space="preserve"> Правительства Ленинградской области от 17.12.2024 N 924; в ред. </w:t>
      </w:r>
      <w:hyperlink r:id="rId68"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обязательство получателя субсидии подписать акт об исполнении обязательств по форме, определенной соглашением, направленный Комитетом по окончании срока действия соглашения и после принятия всех установленных соглашением отчетов.</w:t>
      </w:r>
      <w:r/>
    </w:p>
    <w:p>
      <w:pPr>
        <w:pStyle w:val="617"/>
        <w:jc w:val="both"/>
      </w:pPr>
      <w:r>
        <w:rPr>
          <w:sz w:val="24"/>
        </w:rPr>
        <w:t xml:space="preserve">(абзац введен </w:t>
      </w:r>
      <w:hyperlink r:id="rId69"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Постановлением</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В случае неподписания победителем отбора соглашения в срок, указанный в </w:t>
      </w:r>
      <w:hyperlink w:tooltip="3.1. Субсидия предоставляется на основании соглашения, заключенного между Комитетом и получателем субсидии, не позднее 50 рабочих дней со дня принятия решения о предоставления субсидии по типовой форме, утвержденной Комитетом финансов Ленинградской области, включающего в том числе:" w:anchor="P283" w:history="1">
        <w:r>
          <w:rPr>
            <w:color w:val="0000ff"/>
            <w:sz w:val="24"/>
          </w:rPr>
          <w:t xml:space="preserve">абзаце первом</w:t>
        </w:r>
      </w:hyperlink>
      <w:r>
        <w:rPr>
          <w:sz w:val="24"/>
        </w:rPr>
        <w:t xml:space="preserve"> настоящего пункта, победитель отбора считается уклонившимся от заключения соглашения.</w:t>
      </w:r>
      <w:r/>
    </w:p>
    <w:p>
      <w:pPr>
        <w:pStyle w:val="617"/>
        <w:ind w:firstLine="540"/>
        <w:jc w:val="both"/>
        <w:spacing w:before="240"/>
      </w:pPr>
      <w:r>
        <w:rPr>
          <w:sz w:val="24"/>
        </w:rPr>
        <w:t xml:space="preserve">3.2. Размер субсидии составляет не более 100 процентов от планируемых затрат участника отбора с учетом </w:t>
      </w:r>
      <w:hyperlink w:tooltip="1.5. Субсидия предоставляется СО НКО на финансовое обеспечение затрат, связанных с реализацией проекта в рамках государственной программы Ленинградской области &quot;Устойчивое общественное развитие в Ленинградской области&quot;, по следующим направлениям расходов:" w:anchor="P76" w:history="1">
        <w:r>
          <w:rPr>
            <w:color w:val="0000ff"/>
            <w:sz w:val="24"/>
          </w:rPr>
          <w:t xml:space="preserve">пунктов 1.5</w:t>
        </w:r>
      </w:hyperlink>
      <w:r>
        <w:rPr>
          <w:sz w:val="24"/>
        </w:rPr>
        <w:t xml:space="preserve"> и </w:t>
      </w:r>
      <w:hyperlink w:tooltip="1.6. Субсидия не может быть направлена на:" w:anchor="P82" w:history="1">
        <w:r>
          <w:rPr>
            <w:color w:val="0000ff"/>
            <w:sz w:val="24"/>
          </w:rPr>
          <w:t xml:space="preserve">1.6</w:t>
        </w:r>
      </w:hyperlink>
      <w:r>
        <w:rPr>
          <w:sz w:val="24"/>
        </w:rPr>
        <w:t xml:space="preserve"> настоящего Порядка и определяется на основании бюджета проекта (сметы расходов) с учетом софинансирования, но не более объема бюджетных ассигнований, утвержденных в сводной бюджетной росписи областного бюджета Комитету, указанных в объявлении.</w:t>
      </w:r>
      <w:r/>
    </w:p>
    <w:p>
      <w:pPr>
        <w:pStyle w:val="617"/>
        <w:jc w:val="both"/>
      </w:pPr>
      <w:r>
        <w:rPr>
          <w:sz w:val="24"/>
        </w:rPr>
        <w:t xml:space="preserve">(в ред. </w:t>
      </w:r>
      <w:hyperlink r:id="rId70"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Общий объем субсидии, подлежащий распределению в рамках отбора, указывается в правовом акте Комитета о проведении отбора, указанном в </w:t>
      </w:r>
      <w:hyperlink w:tooltip="2.1. Комитет осуществляет предоставление субсидии на реализацию СО НКО проектов по следующим направлениям:" w:anchor="P106" w:history="1">
        <w:r>
          <w:rPr>
            <w:color w:val="0000ff"/>
            <w:sz w:val="24"/>
          </w:rPr>
          <w:t xml:space="preserve">пункте 2.1</w:t>
        </w:r>
      </w:hyperlink>
      <w:r>
        <w:rPr>
          <w:sz w:val="24"/>
        </w:rPr>
        <w:t xml:space="preserve"> настоящего Порядка, и в объявлении.</w:t>
      </w:r>
      <w:r/>
    </w:p>
    <w:p>
      <w:pPr>
        <w:pStyle w:val="617"/>
        <w:jc w:val="both"/>
      </w:pPr>
      <w:r>
        <w:rPr>
          <w:sz w:val="24"/>
        </w:rPr>
        <w:t xml:space="preserve">(п. 3.2 в ред. </w:t>
      </w:r>
      <w:hyperlink r:id="rId71"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Постановления</w:t>
        </w:r>
      </w:hyperlink>
      <w:r>
        <w:rPr>
          <w:sz w:val="24"/>
        </w:rPr>
        <w:t xml:space="preserve"> Правительства Ленинградской области от 30.12.2025 N 1129)</w:t>
      </w:r>
      <w:r/>
    </w:p>
    <w:p>
      <w:pPr>
        <w:pStyle w:val="617"/>
        <w:ind w:firstLine="540"/>
        <w:jc w:val="both"/>
        <w:spacing w:before="240"/>
      </w:pPr>
      <w:r>
        <w:rPr>
          <w:sz w:val="24"/>
        </w:rPr>
        <w:t xml:space="preserve">3.3. Субсидия подлежит перечислению в соответствующем финансовом году в соответствии с графиком перечисления субсидии, установленным в соглашении.</w:t>
      </w:r>
      <w:r/>
    </w:p>
    <w:p>
      <w:pPr>
        <w:pStyle w:val="617"/>
        <w:ind w:firstLine="540"/>
        <w:jc w:val="both"/>
        <w:spacing w:before="240"/>
      </w:pPr>
      <w:r>
        <w:rPr>
          <w:sz w:val="24"/>
        </w:rPr>
        <w:t xml:space="preserve">Сумма субс</w:t>
      </w:r>
      <w:r>
        <w:rPr>
          <w:sz w:val="24"/>
        </w:rPr>
        <w:t xml:space="preserve">идии перечисляется на расчетный счет получателя субсидии, открытый в учреждении Центрального банка Российской Федерации или кредитной организации, указанный получателем субсидии в соглашении, если иное не установлено законодательством Российской Федерации.</w:t>
      </w:r>
      <w:r/>
    </w:p>
    <w:p>
      <w:pPr>
        <w:pStyle w:val="617"/>
        <w:ind w:firstLine="540"/>
        <w:jc w:val="both"/>
        <w:spacing w:before="240"/>
      </w:pPr>
      <w:r>
        <w:rPr>
          <w:sz w:val="24"/>
        </w:rPr>
        <w:t xml:space="preserve">3.4. Основанием для перечисления субсидии на расчетный счет получателя субсидии является правовой акт Комитета и заключенное между Комитетом и получателем субсидии соглашение.</w:t>
      </w:r>
      <w:r/>
    </w:p>
    <w:p>
      <w:pPr>
        <w:pStyle w:val="617"/>
        <w:ind w:firstLine="540"/>
        <w:jc w:val="both"/>
        <w:spacing w:before="240"/>
      </w:pPr>
      <w:r>
        <w:rPr>
          <w:sz w:val="24"/>
        </w:rPr>
        <w:t xml:space="preserve">3.5. В случае налич</w:t>
      </w:r>
      <w:r>
        <w:rPr>
          <w:sz w:val="24"/>
        </w:rPr>
        <w:t xml:space="preserve">ия по результатам проведенного отбора нераспределенных денежных средств, образования остатков неиспользованных сумм субсидий, которые были возвращены в областной бюджет, и(или) в случае увеличения бюджетных ассигнований Комитет имеет право принять решение:</w:t>
      </w:r>
      <w:r/>
    </w:p>
    <w:p>
      <w:pPr>
        <w:pStyle w:val="617"/>
        <w:ind w:firstLine="540"/>
        <w:jc w:val="both"/>
        <w:spacing w:before="240"/>
      </w:pPr>
      <w:r>
        <w:rPr>
          <w:sz w:val="24"/>
        </w:rPr>
        <w:t xml:space="preserve">о предоставлени</w:t>
      </w:r>
      <w:r>
        <w:rPr>
          <w:sz w:val="24"/>
        </w:rPr>
        <w:t xml:space="preserve">и дополнительных средств получателям субсидии. При этом сложившаяся разница между размером ранее предоставленной субсидии и увеличенным размером субсидии предоставляется получателю субсидии на основании дополнительного соглашения к заключенному соглашению;</w:t>
      </w:r>
      <w:r/>
    </w:p>
    <w:p>
      <w:pPr>
        <w:pStyle w:val="617"/>
        <w:ind w:firstLine="540"/>
        <w:jc w:val="both"/>
        <w:spacing w:before="240"/>
      </w:pPr>
      <w:r>
        <w:rPr>
          <w:sz w:val="24"/>
        </w:rPr>
        <w:t xml:space="preserve">о проведении дополнительного отбора в соответствии с настоящим Порядком (в случае отсутствия потребности у получателей субсидии в увеличении размера субсидии либо в случае наличия нераспределенного остатка субсидии).</w:t>
      </w:r>
      <w:r/>
    </w:p>
    <w:p>
      <w:pPr>
        <w:pStyle w:val="617"/>
        <w:ind w:firstLine="540"/>
        <w:jc w:val="both"/>
        <w:spacing w:before="240"/>
      </w:pPr>
      <w:r>
        <w:rPr>
          <w:sz w:val="24"/>
        </w:rPr>
        <w:t xml:space="preserve">При наличии потребности у получателя субсидии в увеличении размера субсидии:</w:t>
      </w:r>
      <w:r/>
    </w:p>
    <w:p>
      <w:pPr>
        <w:pStyle w:val="617"/>
        <w:ind w:firstLine="540"/>
        <w:jc w:val="both"/>
        <w:spacing w:before="240"/>
      </w:pPr>
      <w:r/>
      <w:bookmarkStart w:id="309" w:name="P309"/>
      <w:r/>
      <w:bookmarkEnd w:id="309"/>
      <w:r>
        <w:rPr>
          <w:sz w:val="24"/>
        </w:rPr>
        <w:t xml:space="preserve">1) получатели субсидии не позднее 1 сентября текущего финанс</w:t>
      </w:r>
      <w:r>
        <w:rPr>
          <w:sz w:val="24"/>
        </w:rPr>
        <w:t xml:space="preserve">ового года представляют в Комитет заявление о потребности в дополнительных средствах (далее - заявление) в текущем финансовом году, содержащее обоснование потребности увеличения размера субсидии в связи с реализуемым проектом, с приложением сметы расходов.</w:t>
      </w:r>
      <w:r/>
    </w:p>
    <w:p>
      <w:pPr>
        <w:pStyle w:val="617"/>
        <w:jc w:val="both"/>
      </w:pPr>
      <w:r>
        <w:rPr>
          <w:sz w:val="24"/>
        </w:rPr>
        <w:t xml:space="preserve">(в ред. </w:t>
      </w:r>
      <w:hyperlink r:id="rId72"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Заявление должно содержать:</w:t>
      </w:r>
      <w:r/>
    </w:p>
    <w:p>
      <w:pPr>
        <w:pStyle w:val="617"/>
        <w:ind w:firstLine="540"/>
        <w:jc w:val="both"/>
        <w:spacing w:before="240"/>
      </w:pPr>
      <w:r>
        <w:rPr>
          <w:sz w:val="24"/>
        </w:rPr>
        <w:t xml:space="preserve">описание дополнительных мероприятий проекта и(или) изменения количественных и качественных характеристик реализуемых мероприятий проекта и(или) показателей проекта и срок их реализации (далее - дополнительный план мероприятий);</w:t>
      </w:r>
      <w:r/>
    </w:p>
    <w:p>
      <w:pPr>
        <w:pStyle w:val="617"/>
        <w:ind w:firstLine="540"/>
        <w:jc w:val="both"/>
        <w:spacing w:before="240"/>
      </w:pPr>
      <w:r>
        <w:rPr>
          <w:sz w:val="24"/>
        </w:rPr>
        <w:t xml:space="preserve">запрашиваемую дополнительную сумму субсидии;</w:t>
      </w:r>
      <w:r/>
    </w:p>
    <w:p>
      <w:pPr>
        <w:pStyle w:val="617"/>
        <w:ind w:firstLine="540"/>
        <w:jc w:val="both"/>
        <w:spacing w:before="240"/>
      </w:pPr>
      <w:r>
        <w:rPr>
          <w:sz w:val="24"/>
        </w:rPr>
        <w:t xml:space="preserve">сумму софинансирования дополнительного плана мероприятий;</w:t>
      </w:r>
      <w:r/>
    </w:p>
    <w:p>
      <w:pPr>
        <w:pStyle w:val="617"/>
        <w:ind w:firstLine="540"/>
        <w:jc w:val="both"/>
        <w:spacing w:before="240"/>
      </w:pPr>
      <w:r>
        <w:rPr>
          <w:sz w:val="24"/>
        </w:rPr>
        <w:t xml:space="preserve">документы, подтверждающие обстоятельства, влекущие изменения реализуемого проекта и потребность в дополнительных средствах;</w:t>
      </w:r>
      <w:r/>
    </w:p>
    <w:p>
      <w:pPr>
        <w:pStyle w:val="617"/>
        <w:ind w:firstLine="540"/>
        <w:jc w:val="both"/>
        <w:spacing w:before="240"/>
      </w:pPr>
      <w:r>
        <w:rPr>
          <w:sz w:val="24"/>
        </w:rPr>
        <w:t xml:space="preserve">2) Комитет в течение 10 рабочих дней с даты получения заявления рассматривает представленное заявление и п</w:t>
      </w:r>
      <w:r>
        <w:rPr>
          <w:sz w:val="24"/>
        </w:rPr>
        <w:t xml:space="preserve">рилагаемые к нему документы и принимает решение о выделении дополнительных финансовых средств или об отказе в выделении дополнительных финансовых средств с указанием основания для отказа и направляет принятое решение получателю субсидии в письменной форме.</w:t>
      </w:r>
      <w:r/>
    </w:p>
    <w:p>
      <w:pPr>
        <w:pStyle w:val="617"/>
        <w:ind w:firstLine="540"/>
        <w:jc w:val="both"/>
        <w:spacing w:before="240"/>
      </w:pPr>
      <w:r>
        <w:rPr>
          <w:sz w:val="24"/>
        </w:rPr>
        <w:t xml:space="preserve">Основаниями для отказа в выделении дополнительных финансовых средств являются:</w:t>
      </w:r>
      <w:r/>
    </w:p>
    <w:p>
      <w:pPr>
        <w:pStyle w:val="617"/>
        <w:ind w:firstLine="540"/>
        <w:jc w:val="both"/>
        <w:spacing w:before="240"/>
      </w:pPr>
      <w:r>
        <w:rPr>
          <w:sz w:val="24"/>
        </w:rPr>
        <w:t xml:space="preserve">отсутствие у Комитета увеличенных бюджетных ассигнований в размере, запрашиваемом получателем субсидии в заявлении;</w:t>
      </w:r>
      <w:r/>
    </w:p>
    <w:p>
      <w:pPr>
        <w:pStyle w:val="617"/>
        <w:ind w:firstLine="540"/>
        <w:jc w:val="both"/>
        <w:spacing w:before="240"/>
      </w:pPr>
      <w:r>
        <w:rPr>
          <w:sz w:val="24"/>
        </w:rPr>
        <w:t xml:space="preserve">абзац исключен. - </w:t>
      </w:r>
      <w:hyperlink r:id="rId73"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Постановление</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несоответствие дополнительного плана мероприятий направлению, целям (цели) и задачам реализуемого проекта;</w:t>
      </w:r>
      <w:r/>
    </w:p>
    <w:p>
      <w:pPr>
        <w:pStyle w:val="617"/>
        <w:ind w:firstLine="540"/>
        <w:jc w:val="both"/>
        <w:spacing w:before="240"/>
      </w:pPr>
      <w:r>
        <w:rPr>
          <w:sz w:val="24"/>
        </w:rPr>
        <w:t xml:space="preserve">превышение срока реализации проекта, указанного в соглашении;</w:t>
      </w:r>
      <w:r/>
    </w:p>
    <w:p>
      <w:pPr>
        <w:pStyle w:val="617"/>
        <w:ind w:firstLine="540"/>
        <w:jc w:val="both"/>
        <w:spacing w:before="240"/>
      </w:pPr>
      <w:r>
        <w:rPr>
          <w:sz w:val="24"/>
        </w:rPr>
        <w:t xml:space="preserve">непредставление или представление не в полном объеме документов, указанных в </w:t>
      </w:r>
      <w:hyperlink w:tooltip="1) получатели субсидии не позднее 1 сентября текущего финансового года представляют в Комитет заявление о потребности в дополнительных средствах (далее - заявление) в текущем финансовом году, содержащее обоснование потребности увеличения размера субсидии в связи с реализуемым проектом, с приложением сметы расходов." w:anchor="P309" w:history="1">
        <w:r>
          <w:rPr>
            <w:color w:val="0000ff"/>
            <w:sz w:val="24"/>
          </w:rPr>
          <w:t xml:space="preserve">подпункте 1</w:t>
        </w:r>
      </w:hyperlink>
      <w:r>
        <w:rPr>
          <w:sz w:val="24"/>
        </w:rPr>
        <w:t xml:space="preserve"> настоящего пункта, установление факта недостоверности представленной получателем субсидии информации;</w:t>
      </w:r>
      <w:r/>
    </w:p>
    <w:p>
      <w:pPr>
        <w:pStyle w:val="617"/>
        <w:ind w:firstLine="540"/>
        <w:jc w:val="both"/>
        <w:spacing w:before="240"/>
      </w:pPr>
      <w:r>
        <w:rPr>
          <w:sz w:val="24"/>
        </w:rPr>
        <w:t xml:space="preserve">представление заявления в текущем финансовом году после 1 сентября текущего финансового года.</w:t>
      </w:r>
      <w:r/>
    </w:p>
    <w:p>
      <w:pPr>
        <w:pStyle w:val="617"/>
        <w:ind w:firstLine="540"/>
        <w:jc w:val="both"/>
        <w:spacing w:before="240"/>
      </w:pPr>
      <w:r/>
      <w:bookmarkStart w:id="324" w:name="P324"/>
      <w:r/>
      <w:bookmarkEnd w:id="324"/>
      <w:r>
        <w:rPr>
          <w:sz w:val="24"/>
        </w:rPr>
        <w:t xml:space="preserve">3.6. Результатом предоставления субсидии является реализация проекта в рамках предоставленной субсидии в целях развития гражданского общества Ленинградской области, оказания социальной поддержки и защиты ветеранов, "серебряных" волонтеров и(или) инвалидов.</w:t>
      </w:r>
      <w:r/>
    </w:p>
    <w:p>
      <w:pPr>
        <w:pStyle w:val="617"/>
        <w:jc w:val="both"/>
      </w:pPr>
      <w:r>
        <w:rPr>
          <w:sz w:val="24"/>
        </w:rPr>
        <w:t xml:space="preserve">(п. 3.6 в ред. </w:t>
      </w:r>
      <w:hyperlink r:id="rId74"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Постановления</w:t>
        </w:r>
      </w:hyperlink>
      <w:r>
        <w:rPr>
          <w:sz w:val="24"/>
        </w:rPr>
        <w:t xml:space="preserve"> Правительства Ленинградской области от 30.12.2025 N 1129)</w:t>
      </w:r>
      <w:r/>
    </w:p>
    <w:p>
      <w:pPr>
        <w:pStyle w:val="617"/>
        <w:ind w:firstLine="540"/>
        <w:jc w:val="both"/>
        <w:spacing w:before="240"/>
      </w:pPr>
      <w:r/>
      <w:bookmarkStart w:id="326" w:name="P326"/>
      <w:r/>
      <w:bookmarkEnd w:id="326"/>
      <w:r>
        <w:rPr>
          <w:sz w:val="24"/>
        </w:rPr>
        <w:t xml:space="preserve">3.7. Характеристиками результата являются:</w:t>
      </w:r>
      <w:r/>
    </w:p>
    <w:p>
      <w:pPr>
        <w:pStyle w:val="617"/>
        <w:ind w:firstLine="540"/>
        <w:jc w:val="both"/>
        <w:spacing w:before="240"/>
      </w:pPr>
      <w:r>
        <w:rPr>
          <w:sz w:val="24"/>
        </w:rPr>
        <w:t xml:space="preserve">1) количество проведенных получателем субсидии мероприятий в рамках проекта;</w:t>
      </w:r>
      <w:r/>
    </w:p>
    <w:p>
      <w:pPr>
        <w:pStyle w:val="617"/>
        <w:ind w:firstLine="540"/>
        <w:jc w:val="both"/>
        <w:spacing w:before="240"/>
      </w:pPr>
      <w:r>
        <w:rPr>
          <w:sz w:val="24"/>
        </w:rPr>
        <w:t xml:space="preserve">2) количество муниципальных образований Ленинградской области (муниципальный район, муниципальный округ, городской округ), на территории которых был реализован проект;</w:t>
      </w:r>
      <w:r/>
    </w:p>
    <w:p>
      <w:pPr>
        <w:pStyle w:val="617"/>
        <w:ind w:firstLine="540"/>
        <w:jc w:val="both"/>
        <w:spacing w:before="240"/>
      </w:pPr>
      <w:r>
        <w:rPr>
          <w:sz w:val="24"/>
        </w:rPr>
        <w:t xml:space="preserve">3) количество благополучателей;</w:t>
      </w:r>
      <w:r/>
    </w:p>
    <w:p>
      <w:pPr>
        <w:pStyle w:val="617"/>
        <w:ind w:firstLine="540"/>
        <w:jc w:val="both"/>
        <w:spacing w:before="240"/>
      </w:pPr>
      <w:r>
        <w:rPr>
          <w:sz w:val="24"/>
        </w:rPr>
        <w:t xml:space="preserve">4) количество публикаций о проекте в средствах массовой информации и(или) социальных сетях;</w:t>
      </w:r>
      <w:r/>
    </w:p>
    <w:p>
      <w:pPr>
        <w:pStyle w:val="617"/>
        <w:ind w:firstLine="540"/>
        <w:jc w:val="both"/>
        <w:spacing w:before="240"/>
      </w:pPr>
      <w:r>
        <w:rPr>
          <w:sz w:val="24"/>
        </w:rPr>
        <w:t xml:space="preserve">5) количество добровольцев (волонтеров), привлеченных к реализации проекта;</w:t>
      </w:r>
      <w:r/>
    </w:p>
    <w:p>
      <w:pPr>
        <w:pStyle w:val="617"/>
        <w:ind w:firstLine="540"/>
        <w:jc w:val="both"/>
        <w:spacing w:before="240"/>
      </w:pPr>
      <w:r>
        <w:rPr>
          <w:sz w:val="24"/>
        </w:rPr>
        <w:t xml:space="preserve">6) количество партнеров проекта.</w:t>
      </w:r>
      <w:r/>
    </w:p>
    <w:p>
      <w:pPr>
        <w:pStyle w:val="617"/>
        <w:ind w:firstLine="540"/>
        <w:jc w:val="both"/>
        <w:spacing w:before="240"/>
      </w:pPr>
      <w:r>
        <w:rPr>
          <w:sz w:val="24"/>
        </w:rPr>
        <w:t xml:space="preserve">Значения результата и характеристики устанавливаются Комитетом в соглашении.</w:t>
      </w:r>
      <w:r/>
    </w:p>
    <w:p>
      <w:pPr>
        <w:pStyle w:val="617"/>
        <w:jc w:val="both"/>
      </w:pPr>
      <w:r>
        <w:rPr>
          <w:sz w:val="24"/>
        </w:rPr>
        <w:t xml:space="preserve">(п. 3.7 в ред. </w:t>
      </w:r>
      <w:hyperlink r:id="rId75"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Постановления</w:t>
        </w:r>
      </w:hyperlink>
      <w:r>
        <w:rPr>
          <w:sz w:val="24"/>
        </w:rPr>
        <w:t xml:space="preserve"> Правительства Ленинградской области от 30.12.2025 N 1129)</w:t>
      </w:r>
      <w:r/>
    </w:p>
    <w:p>
      <w:pPr>
        <w:pStyle w:val="617"/>
        <w:ind w:firstLine="540"/>
        <w:jc w:val="both"/>
        <w:spacing w:before="240"/>
      </w:pPr>
      <w:r>
        <w:rPr>
          <w:sz w:val="24"/>
        </w:rPr>
        <w:t xml:space="preserve">3.8. Внесение изменений в с</w:t>
      </w:r>
      <w:r>
        <w:rPr>
          <w:sz w:val="24"/>
        </w:rPr>
        <w:t xml:space="preserve">оглашение осуществляется на основании обращения получателя субсидии в письменной форме или в форме электронного документа, направленного в Комитет, ввиду технической ошибки и(или) наличия обстоятельств, возникших после заключения соглашения, которые получа</w:t>
      </w:r>
      <w:r>
        <w:rPr>
          <w:sz w:val="24"/>
        </w:rPr>
        <w:t xml:space="preserve">тель субсидии не мог предвидеть на момент заключения соглашения, путем заключения дополнительного соглашения. В обращении указывается информация о предлагаемых изменениях, об обстоятельствах, послуживших основанием для инициирования их внесения, с приложен</w:t>
      </w:r>
      <w:r>
        <w:rPr>
          <w:sz w:val="24"/>
        </w:rPr>
        <w:t xml:space="preserve">ием подтверждающих документов (при наличии). Согласование и подписание дополнительного соглашения к соглашению осуществляется Комитетом в системе "Электронный бюджет", за исключением случаев, когда у получателя субсидии отсутствует техническая возможность.</w:t>
      </w:r>
      <w:r/>
    </w:p>
    <w:p>
      <w:pPr>
        <w:pStyle w:val="617"/>
        <w:jc w:val="both"/>
      </w:pPr>
      <w:r>
        <w:rPr>
          <w:sz w:val="24"/>
        </w:rPr>
        <w:t xml:space="preserve">(п. 3.8 в ред. </w:t>
      </w:r>
      <w:hyperlink r:id="rId76"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p>
      <w:pPr>
        <w:pStyle w:val="617"/>
        <w:jc w:val="center"/>
      </w:pPr>
      <w:r>
        <w:rPr>
          <w:sz w:val="24"/>
        </w:rPr>
      </w:r>
      <w:r/>
    </w:p>
    <w:p>
      <w:pPr>
        <w:pStyle w:val="619"/>
        <w:jc w:val="center"/>
        <w:outlineLvl w:val="1"/>
      </w:pPr>
      <w:r>
        <w:rPr>
          <w:sz w:val="24"/>
        </w:rPr>
        <w:t xml:space="preserve">4. Требования к отчетности</w:t>
      </w:r>
      <w:r/>
    </w:p>
    <w:p>
      <w:pPr>
        <w:pStyle w:val="617"/>
        <w:jc w:val="center"/>
      </w:pPr>
      <w:r>
        <w:rPr>
          <w:sz w:val="24"/>
        </w:rPr>
      </w:r>
      <w:r/>
    </w:p>
    <w:p>
      <w:pPr>
        <w:pStyle w:val="617"/>
        <w:ind w:firstLine="540"/>
        <w:jc w:val="both"/>
      </w:pPr>
      <w:r>
        <w:rPr>
          <w:sz w:val="24"/>
        </w:rPr>
        <w:t xml:space="preserve">4.1. Получатели субсидии представляют в Комитет по формам, установленным в соглашении:</w:t>
      </w:r>
      <w:r/>
    </w:p>
    <w:p>
      <w:pPr>
        <w:pStyle w:val="617"/>
        <w:ind w:firstLine="540"/>
        <w:jc w:val="both"/>
        <w:spacing w:before="240"/>
      </w:pPr>
      <w:r>
        <w:rPr>
          <w:sz w:val="24"/>
        </w:rPr>
        <w:t xml:space="preserve">1) не позднее пяти рабочих дней месяца, следующего за отчетным кварталом, а за четвертый квартал - не позднее 15 января года, следующего за отчетным:</w:t>
      </w:r>
      <w:r/>
    </w:p>
    <w:p>
      <w:pPr>
        <w:pStyle w:val="617"/>
        <w:jc w:val="both"/>
      </w:pPr>
      <w:r>
        <w:rPr>
          <w:sz w:val="24"/>
        </w:rPr>
        <w:t xml:space="preserve">(в ред. </w:t>
      </w:r>
      <w:hyperlink r:id="rId77"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отчет об осуществлении расходов, источником финансового обеспечения которых является субсидия;</w:t>
      </w:r>
      <w:r/>
    </w:p>
    <w:p>
      <w:pPr>
        <w:pStyle w:val="617"/>
        <w:ind w:firstLine="540"/>
        <w:jc w:val="both"/>
        <w:spacing w:before="240"/>
      </w:pPr>
      <w:r>
        <w:rPr>
          <w:sz w:val="24"/>
        </w:rPr>
        <w:t xml:space="preserve">отчет о достижении значений результата предоставления субсидий, а также характеристик результата;</w:t>
      </w:r>
      <w:r/>
    </w:p>
    <w:p>
      <w:pPr>
        <w:pStyle w:val="617"/>
        <w:ind w:firstLine="540"/>
        <w:jc w:val="both"/>
        <w:spacing w:before="240"/>
      </w:pPr>
      <w:r>
        <w:rPr>
          <w:sz w:val="24"/>
        </w:rPr>
        <w:t xml:space="preserve">2) не позднее пяти рабочих дней с даты завершения реализации проекта, указанной в соглашении:</w:t>
      </w:r>
      <w:r/>
    </w:p>
    <w:p>
      <w:pPr>
        <w:pStyle w:val="617"/>
        <w:ind w:firstLine="540"/>
        <w:jc w:val="both"/>
        <w:spacing w:before="240"/>
      </w:pPr>
      <w:r>
        <w:rPr>
          <w:sz w:val="24"/>
        </w:rPr>
        <w:t xml:space="preserve">отчет о достижении значений результата предоставления субсидии, а также характеристик результата;</w:t>
      </w:r>
      <w:r/>
    </w:p>
    <w:p>
      <w:pPr>
        <w:pStyle w:val="617"/>
        <w:ind w:firstLine="540"/>
        <w:jc w:val="both"/>
        <w:spacing w:before="240"/>
      </w:pPr>
      <w:r>
        <w:rPr>
          <w:sz w:val="24"/>
        </w:rPr>
        <w:t xml:space="preserve">отчет о расходах, источником финансового обеспечения которых является субсидия.</w:t>
      </w:r>
      <w:r/>
    </w:p>
    <w:p>
      <w:pPr>
        <w:pStyle w:val="617"/>
        <w:ind w:firstLine="540"/>
        <w:jc w:val="both"/>
        <w:spacing w:before="240"/>
      </w:pPr>
      <w:r>
        <w:rPr>
          <w:sz w:val="24"/>
        </w:rPr>
        <w:t xml:space="preserve">4.2. Получатели субсидии представляют в Комитет следующую дополнительную отчетность по формам и в сроки, установленные в соглашении:</w:t>
      </w:r>
      <w:r/>
    </w:p>
    <w:p>
      <w:pPr>
        <w:pStyle w:val="617"/>
        <w:ind w:firstLine="540"/>
        <w:jc w:val="both"/>
        <w:spacing w:before="240"/>
      </w:pPr>
      <w:r>
        <w:rPr>
          <w:sz w:val="24"/>
        </w:rPr>
        <w:t xml:space="preserve">1) финансовый отчет;</w:t>
      </w:r>
      <w:r/>
    </w:p>
    <w:p>
      <w:pPr>
        <w:pStyle w:val="617"/>
        <w:ind w:firstLine="540"/>
        <w:jc w:val="both"/>
        <w:spacing w:before="240"/>
      </w:pPr>
      <w:r>
        <w:rPr>
          <w:sz w:val="24"/>
        </w:rPr>
        <w:t xml:space="preserve">2) информационно-аналитический отчет;</w:t>
      </w:r>
      <w:r/>
    </w:p>
    <w:p>
      <w:pPr>
        <w:pStyle w:val="617"/>
        <w:ind w:firstLine="540"/>
        <w:jc w:val="both"/>
        <w:spacing w:before="240"/>
      </w:pPr>
      <w:r>
        <w:rPr>
          <w:sz w:val="24"/>
        </w:rPr>
        <w:t xml:space="preserve">3) утратил силу. - </w:t>
      </w:r>
      <w:hyperlink r:id="rId78"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Постановление</w:t>
        </w:r>
      </w:hyperlink>
      <w:r>
        <w:rPr>
          <w:sz w:val="24"/>
        </w:rPr>
        <w:t xml:space="preserve"> Правительства Ленинградской области от 26.08.2026 N 682.</w:t>
      </w:r>
      <w:r/>
    </w:p>
    <w:p>
      <w:pPr>
        <w:pStyle w:val="617"/>
        <w:ind w:firstLine="540"/>
        <w:jc w:val="both"/>
        <w:spacing w:before="240"/>
      </w:pPr>
      <w:r>
        <w:rPr>
          <w:sz w:val="24"/>
        </w:rPr>
        <w:t xml:space="preserve">Срок прове</w:t>
      </w:r>
      <w:r>
        <w:rPr>
          <w:sz w:val="24"/>
        </w:rPr>
        <w:t xml:space="preserve">рки и принятия Комитетом представленного получателем субсидии отчета не должен превышать 60 рабочих дней с даты его представления получателем субсидии. Комитет в течение указанного срока принимает отчет или возвращает отчет на доработку с указанием причин.</w:t>
      </w:r>
      <w:r/>
    </w:p>
    <w:p>
      <w:pPr>
        <w:pStyle w:val="617"/>
        <w:ind w:firstLine="540"/>
        <w:jc w:val="both"/>
        <w:spacing w:before="240"/>
      </w:pPr>
      <w:r>
        <w:rPr>
          <w:sz w:val="24"/>
        </w:rPr>
        <w:t xml:space="preserve">4.3. Утратил силу. - </w:t>
      </w:r>
      <w:hyperlink r:id="rId79"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Постановление</w:t>
        </w:r>
      </w:hyperlink>
      <w:r>
        <w:rPr>
          <w:sz w:val="24"/>
        </w:rPr>
        <w:t xml:space="preserve"> Правительства Ленинградской области от 30.12.2025 N 1129.</w:t>
      </w:r>
      <w:r/>
    </w:p>
    <w:p>
      <w:pPr>
        <w:pStyle w:val="617"/>
        <w:ind w:firstLine="540"/>
        <w:jc w:val="both"/>
        <w:spacing w:before="240"/>
      </w:pPr>
      <w:r>
        <w:rPr>
          <w:sz w:val="24"/>
        </w:rPr>
        <w:t xml:space="preserve">4.4. В целях формирования перечня получателей субсидии, наиболее успешно реализовавших свой проект, Комитетом осуществляется оценка результатов реализации проекта. Порядок проведения оценки результатов проекта утверждается правовым актом Комитета.</w:t>
      </w:r>
      <w:r/>
    </w:p>
    <w:p>
      <w:pPr>
        <w:pStyle w:val="617"/>
        <w:jc w:val="both"/>
      </w:pPr>
      <w:r>
        <w:rPr>
          <w:sz w:val="24"/>
        </w:rPr>
        <w:t xml:space="preserve">(п. 4.4 введен </w:t>
      </w:r>
      <w:hyperlink r:id="rId80"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Постановлением</w:t>
        </w:r>
      </w:hyperlink>
      <w:r>
        <w:rPr>
          <w:sz w:val="24"/>
        </w:rPr>
        <w:t xml:space="preserve"> Правительства Ленинградской области от 26.08.2026 N 682)</w:t>
      </w:r>
      <w:r/>
    </w:p>
    <w:p>
      <w:pPr>
        <w:pStyle w:val="617"/>
        <w:ind w:firstLine="540"/>
        <w:jc w:val="both"/>
      </w:pPr>
      <w:r>
        <w:rPr>
          <w:sz w:val="24"/>
        </w:rPr>
      </w:r>
      <w:r/>
    </w:p>
    <w:p>
      <w:pPr>
        <w:pStyle w:val="619"/>
        <w:jc w:val="center"/>
        <w:outlineLvl w:val="1"/>
      </w:pPr>
      <w:r>
        <w:rPr>
          <w:sz w:val="24"/>
        </w:rPr>
        <w:t xml:space="preserve">5. Требования об осуществлении контроля (мониторинга)</w:t>
      </w:r>
      <w:r/>
    </w:p>
    <w:p>
      <w:pPr>
        <w:pStyle w:val="619"/>
        <w:jc w:val="center"/>
      </w:pPr>
      <w:r>
        <w:rPr>
          <w:sz w:val="24"/>
        </w:rPr>
        <w:t xml:space="preserve">за соблюдением условий и порядка предоставления субсидии</w:t>
      </w:r>
      <w:r/>
    </w:p>
    <w:p>
      <w:pPr>
        <w:pStyle w:val="619"/>
        <w:jc w:val="center"/>
      </w:pPr>
      <w:r>
        <w:rPr>
          <w:sz w:val="24"/>
        </w:rPr>
        <w:t xml:space="preserve">и ответственность за их нарушение</w:t>
      </w:r>
      <w:r/>
    </w:p>
    <w:p>
      <w:pPr>
        <w:pStyle w:val="617"/>
        <w:jc w:val="center"/>
      </w:pPr>
      <w:r>
        <w:rPr>
          <w:sz w:val="24"/>
        </w:rPr>
      </w:r>
      <w:r/>
    </w:p>
    <w:p>
      <w:pPr>
        <w:pStyle w:val="617"/>
        <w:ind w:firstLine="540"/>
        <w:jc w:val="both"/>
      </w:pPr>
      <w:r>
        <w:rPr>
          <w:sz w:val="24"/>
        </w:rPr>
        <w:t xml:space="preserve">5.1. Комитет осуществляет пр</w:t>
      </w:r>
      <w:r>
        <w:rPr>
          <w:sz w:val="24"/>
        </w:rPr>
        <w:t xml:space="preserve">оверку соблюдения получателем субсидии порядка и условий предоставления субсидии, в том числе в части достижения результатов предоставления субсидии. Орган государственного финансового контроля Ленинградской области осуществляет проверку в соответствии со </w:t>
      </w:r>
      <w:hyperlink r:id="rId81" w:tooltip="&quot;Бюджетный кодекс Российской Федерации&quot; от 31.07.1998 N 145-ФЗ (ред. от 26.06.2026) (с изм. и доп., вступ. в силу с 01.09.2026) {КонсультантПлюс}" w:history="1">
        <w:r>
          <w:rPr>
            <w:color w:val="0000ff"/>
            <w:sz w:val="24"/>
          </w:rPr>
          <w:t xml:space="preserve">статьями 268.1</w:t>
        </w:r>
      </w:hyperlink>
      <w:r>
        <w:rPr>
          <w:sz w:val="24"/>
        </w:rPr>
        <w:t xml:space="preserve"> и </w:t>
      </w:r>
      <w:hyperlink r:id="rId82" w:tooltip="&quot;Бюджетный кодекс Российской Федерации&quot; от 31.07.1998 N 145-ФЗ (ред. от 26.06.2026) (с изм. и доп., вступ. в силу с 01.09.2026) {КонсультантПлюс}" w:history="1">
        <w:r>
          <w:rPr>
            <w:color w:val="0000ff"/>
            <w:sz w:val="24"/>
          </w:rPr>
          <w:t xml:space="preserve">269.2</w:t>
        </w:r>
      </w:hyperlink>
      <w:r>
        <w:rPr>
          <w:sz w:val="24"/>
        </w:rPr>
        <w:t xml:space="preserve"> Бюджетного кодекса Российской Федерации.</w:t>
      </w:r>
      <w:r/>
    </w:p>
    <w:p>
      <w:pPr>
        <w:pStyle w:val="617"/>
        <w:ind w:firstLine="540"/>
        <w:jc w:val="both"/>
        <w:spacing w:before="240"/>
      </w:pPr>
      <w:r>
        <w:rPr>
          <w:sz w:val="24"/>
        </w:rPr>
        <w:t xml:space="preserve">5.2. Комитетом проводится мониторинг достижения результата предоставления субсидии исходя из достижения значений результатов предоставления субсидии</w:t>
      </w:r>
      <w:r>
        <w:rPr>
          <w:sz w:val="24"/>
        </w:rPr>
        <w:t xml:space="preserve">,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установленным порядком проведения мониторинга достижения результатов.</w:t>
      </w:r>
      <w:r/>
    </w:p>
    <w:p>
      <w:pPr>
        <w:pStyle w:val="617"/>
        <w:ind w:firstLine="540"/>
        <w:jc w:val="both"/>
        <w:spacing w:before="240"/>
      </w:pPr>
      <w:r/>
      <w:bookmarkStart w:id="363" w:name="P363"/>
      <w:r/>
      <w:bookmarkEnd w:id="363"/>
      <w:r>
        <w:rPr>
          <w:sz w:val="24"/>
        </w:rPr>
        <w:t xml:space="preserve">5.3. В </w:t>
      </w:r>
      <w:r>
        <w:rPr>
          <w:sz w:val="24"/>
        </w:rPr>
        <w:t xml:space="preserve">случае нарушения получателем субсидии условий и порядка, установленных при предоставлении субсидии, выявленных в том числе по фактам проверок, проведенных Комитетом и органом государственного финансового контроля, а также в случае недостижения значения рез</w:t>
      </w:r>
      <w:r>
        <w:rPr>
          <w:sz w:val="24"/>
        </w:rPr>
        <w:t xml:space="preserve">ультата предоставления субсидии средства субсидии, использованные с нарушением, а также остаток субсидии (сумма, которая не была использована получателем субсидии за период со дня ее получения получателем субсидии до дня получения требования, указанного в </w:t>
      </w:r>
      <w:hyperlink w:tooltip="на основании письменного требования Комитета - в течение 30 календарных дней с даты получения получателем субсидии указанного требования;" w:anchor="P364" w:history="1">
        <w:r>
          <w:rPr>
            <w:color w:val="0000ff"/>
            <w:sz w:val="24"/>
          </w:rPr>
          <w:t xml:space="preserve">абзацах втором</w:t>
        </w:r>
      </w:hyperlink>
      <w:r>
        <w:rPr>
          <w:sz w:val="24"/>
        </w:rPr>
        <w:t xml:space="preserve"> или </w:t>
      </w:r>
      <w:hyperlink w:tooltip="в сроки, установленные в представлении и(или) предписании органа государственного финансового контроля Ленинградской области." w:anchor="P365" w:history="1">
        <w:r>
          <w:rPr>
            <w:color w:val="0000ff"/>
            <w:sz w:val="24"/>
          </w:rPr>
          <w:t xml:space="preserve">третьем</w:t>
        </w:r>
      </w:hyperlink>
      <w:r>
        <w:rPr>
          <w:sz w:val="24"/>
        </w:rPr>
        <w:t xml:space="preserve"> настоящего пункта) (при наличии такого остатка) подлежат возврату в доход областного бюджета:</w:t>
      </w:r>
      <w:r/>
    </w:p>
    <w:p>
      <w:pPr>
        <w:pStyle w:val="617"/>
        <w:ind w:firstLine="540"/>
        <w:jc w:val="both"/>
        <w:spacing w:before="240"/>
      </w:pPr>
      <w:r/>
      <w:bookmarkStart w:id="364" w:name="P364"/>
      <w:r/>
      <w:bookmarkEnd w:id="364"/>
      <w:r>
        <w:rPr>
          <w:sz w:val="24"/>
        </w:rPr>
        <w:t xml:space="preserve">на основании письменного требования Комитета - в течение 30 календарных дней с даты получения получателем субсидии указанного требования;</w:t>
      </w:r>
      <w:r/>
    </w:p>
    <w:p>
      <w:pPr>
        <w:pStyle w:val="617"/>
        <w:ind w:firstLine="540"/>
        <w:jc w:val="both"/>
        <w:spacing w:before="240"/>
      </w:pPr>
      <w:r/>
      <w:bookmarkStart w:id="365" w:name="P365"/>
      <w:r/>
      <w:bookmarkEnd w:id="365"/>
      <w:r>
        <w:rPr>
          <w:sz w:val="24"/>
        </w:rPr>
        <w:t xml:space="preserve">в сроки, установленные в представлении и(или) предписании органа государственного финансового контроля Ленинградской области.</w:t>
      </w:r>
      <w:r/>
    </w:p>
    <w:p>
      <w:pPr>
        <w:pStyle w:val="617"/>
        <w:ind w:firstLine="540"/>
        <w:jc w:val="both"/>
        <w:spacing w:before="240"/>
      </w:pPr>
      <w:r/>
      <w:bookmarkStart w:id="366" w:name="P366"/>
      <w:r/>
      <w:bookmarkEnd w:id="366"/>
      <w:r>
        <w:rPr>
          <w:sz w:val="24"/>
        </w:rPr>
        <w:t xml:space="preserve">5.4. В случае недостижения получателем субсидии значений характеристик результата средства субсидии подлежат возврату, размер подлежащих возврату средств рассчитывается по формуле:</w:t>
      </w:r>
      <w:r/>
    </w:p>
    <w:p>
      <w:pPr>
        <w:pStyle w:val="617"/>
        <w:ind w:firstLine="540"/>
        <w:jc w:val="both"/>
      </w:pPr>
      <w:r>
        <w:rPr>
          <w:sz w:val="24"/>
        </w:rPr>
      </w:r>
      <w:r/>
    </w:p>
    <w:p>
      <w:pPr>
        <w:pStyle w:val="617"/>
        <w:jc w:val="center"/>
      </w:pPr>
      <w:r>
        <w:rPr>
          <w:sz w:val="24"/>
        </w:rPr>
        <w:t xml:space="preserve">Vвозврата = Vсубсидии x k x m / n,</w:t>
      </w:r>
      <w:r/>
    </w:p>
    <w:p>
      <w:pPr>
        <w:pStyle w:val="617"/>
        <w:ind w:firstLine="540"/>
        <w:jc w:val="both"/>
      </w:pPr>
      <w:r>
        <w:rPr>
          <w:sz w:val="24"/>
        </w:rPr>
      </w:r>
      <w:r/>
    </w:p>
    <w:p>
      <w:pPr>
        <w:pStyle w:val="617"/>
        <w:ind w:firstLine="540"/>
        <w:jc w:val="both"/>
      </w:pPr>
      <w:r>
        <w:rPr>
          <w:sz w:val="24"/>
        </w:rPr>
        <w:t xml:space="preserve">где:</w:t>
      </w:r>
      <w:r/>
    </w:p>
    <w:p>
      <w:pPr>
        <w:pStyle w:val="617"/>
        <w:ind w:firstLine="540"/>
        <w:jc w:val="both"/>
        <w:spacing w:before="240"/>
      </w:pPr>
      <w:r>
        <w:rPr>
          <w:sz w:val="24"/>
        </w:rPr>
        <w:t xml:space="preserve">Vвозврата - средства субсидии, подлежащие возврату;</w:t>
      </w:r>
      <w:r/>
    </w:p>
    <w:p>
      <w:pPr>
        <w:pStyle w:val="617"/>
        <w:ind w:firstLine="540"/>
        <w:jc w:val="both"/>
        <w:spacing w:before="240"/>
      </w:pPr>
      <w:r>
        <w:rPr>
          <w:sz w:val="24"/>
        </w:rPr>
        <w:t xml:space="preserve">Vсубсидии - размер субсидии, предоставленной получателю субсидии в отчетном финансовом году;</w:t>
      </w:r>
      <w:r/>
    </w:p>
    <w:p>
      <w:pPr>
        <w:pStyle w:val="617"/>
        <w:ind w:firstLine="540"/>
        <w:jc w:val="both"/>
        <w:spacing w:before="240"/>
      </w:pPr>
      <w:r>
        <w:rPr>
          <w:sz w:val="24"/>
        </w:rPr>
        <w:t xml:space="preserve">k - коэффициент возврата субсидии;</w:t>
      </w:r>
      <w:r/>
    </w:p>
    <w:p>
      <w:pPr>
        <w:pStyle w:val="617"/>
        <w:ind w:firstLine="540"/>
        <w:jc w:val="both"/>
        <w:spacing w:before="240"/>
      </w:pPr>
      <w:r>
        <w:rPr>
          <w:sz w:val="24"/>
        </w:rPr>
        <w:t xml:space="preserve">m - количество характеристик результата, по которым индекс, отражающий уровень недостижения значения i-й характеристики результата, имеет положительное значение;</w:t>
      </w:r>
      <w:r/>
    </w:p>
    <w:p>
      <w:pPr>
        <w:pStyle w:val="617"/>
        <w:ind w:firstLine="540"/>
        <w:jc w:val="both"/>
        <w:spacing w:before="240"/>
      </w:pPr>
      <w:r>
        <w:rPr>
          <w:sz w:val="24"/>
        </w:rPr>
        <w:t xml:space="preserve">n - общее количество характеристик результата.</w:t>
      </w:r>
      <w:r/>
    </w:p>
    <w:p>
      <w:pPr>
        <w:pStyle w:val="617"/>
        <w:ind w:firstLine="540"/>
        <w:jc w:val="both"/>
      </w:pPr>
      <w:r>
        <w:rPr>
          <w:sz w:val="24"/>
        </w:rPr>
      </w:r>
      <w:r/>
    </w:p>
    <w:p>
      <w:pPr>
        <w:pStyle w:val="617"/>
        <w:ind w:firstLine="540"/>
        <w:jc w:val="both"/>
      </w:pPr>
      <w:r>
        <w:rPr>
          <w:sz w:val="24"/>
        </w:rPr>
        <w:t xml:space="preserve">Количество характеристик результата, по которым индекс, отражающий уровень недостижения значения i-й характеристики результата, имеет положительное значение, рассчитывается по формуле:</w:t>
      </w:r>
      <w:r/>
    </w:p>
    <w:p>
      <w:pPr>
        <w:pStyle w:val="617"/>
        <w:ind w:firstLine="540"/>
        <w:jc w:val="both"/>
      </w:pPr>
      <w:r>
        <w:rPr>
          <w:sz w:val="24"/>
        </w:rPr>
      </w:r>
      <w:r/>
    </w:p>
    <w:p>
      <w:pPr>
        <w:pStyle w:val="617"/>
        <w:jc w:val="center"/>
      </w:pPr>
      <w:r>
        <w:rPr>
          <w:sz w:val="24"/>
        </w:rPr>
        <w:t xml:space="preserve">m = SUM mi,</w:t>
      </w:r>
      <w:r/>
    </w:p>
    <w:p>
      <w:pPr>
        <w:pStyle w:val="617"/>
        <w:ind w:firstLine="540"/>
        <w:jc w:val="both"/>
      </w:pPr>
      <w:r>
        <w:rPr>
          <w:sz w:val="24"/>
        </w:rPr>
      </w:r>
      <w:r/>
    </w:p>
    <w:p>
      <w:pPr>
        <w:pStyle w:val="617"/>
        <w:ind w:firstLine="540"/>
        <w:jc w:val="both"/>
      </w:pPr>
      <w:r>
        <w:rPr>
          <w:sz w:val="24"/>
        </w:rPr>
        <w:t xml:space="preserve">где mi - характеристика результата, по которой индекс, отражающий уровень недостижения значения i-й характеристики результата, имеет положительное значение (mi = 1).</w:t>
      </w:r>
      <w:r/>
    </w:p>
    <w:p>
      <w:pPr>
        <w:pStyle w:val="617"/>
        <w:ind w:firstLine="540"/>
        <w:jc w:val="both"/>
      </w:pPr>
      <w:r>
        <w:rPr>
          <w:sz w:val="24"/>
        </w:rPr>
      </w:r>
      <w:r/>
    </w:p>
    <w:p>
      <w:pPr>
        <w:pStyle w:val="617"/>
        <w:ind w:firstLine="540"/>
        <w:jc w:val="both"/>
      </w:pPr>
      <w:r>
        <w:rPr>
          <w:sz w:val="24"/>
        </w:rPr>
        <w:t xml:space="preserve">Коэффициент возврата субсидии рассчитывается по формуле:</w:t>
      </w:r>
      <w:r/>
    </w:p>
    <w:p>
      <w:pPr>
        <w:pStyle w:val="617"/>
        <w:ind w:firstLine="540"/>
        <w:jc w:val="both"/>
      </w:pPr>
      <w:r>
        <w:rPr>
          <w:sz w:val="24"/>
        </w:rPr>
      </w:r>
      <w:r/>
    </w:p>
    <w:p>
      <w:pPr>
        <w:pStyle w:val="617"/>
        <w:jc w:val="center"/>
      </w:pPr>
      <w:r>
        <w:rPr>
          <w:sz w:val="24"/>
        </w:rPr>
        <w:t xml:space="preserve">k = SUM Di / m,</w:t>
      </w:r>
      <w:r/>
    </w:p>
    <w:p>
      <w:pPr>
        <w:pStyle w:val="617"/>
        <w:ind w:firstLine="540"/>
        <w:jc w:val="both"/>
      </w:pPr>
      <w:r>
        <w:rPr>
          <w:sz w:val="24"/>
        </w:rPr>
      </w:r>
      <w:r/>
    </w:p>
    <w:p>
      <w:pPr>
        <w:pStyle w:val="617"/>
        <w:ind w:firstLine="540"/>
        <w:jc w:val="both"/>
      </w:pPr>
      <w:r>
        <w:rPr>
          <w:sz w:val="24"/>
        </w:rPr>
        <w:t xml:space="preserve">где Di - индекс, отражающий уровень недостижения значения i-й характеристики результата.</w:t>
      </w:r>
      <w:r/>
    </w:p>
    <w:p>
      <w:pPr>
        <w:pStyle w:val="617"/>
        <w:ind w:firstLine="540"/>
        <w:jc w:val="both"/>
      </w:pPr>
      <w:r>
        <w:rPr>
          <w:sz w:val="24"/>
        </w:rPr>
      </w:r>
      <w:r/>
    </w:p>
    <w:p>
      <w:pPr>
        <w:pStyle w:val="617"/>
        <w:ind w:firstLine="540"/>
        <w:jc w:val="both"/>
      </w:pPr>
      <w:r>
        <w:rPr>
          <w:sz w:val="24"/>
        </w:rPr>
        <w:t xml:space="preserve">При расчете коэффициента возврата субсидии используются только положительные значения индекса, отражающего уровень недостижения значения i-й характеристики результата.</w:t>
      </w:r>
      <w:r/>
    </w:p>
    <w:p>
      <w:pPr>
        <w:pStyle w:val="617"/>
        <w:ind w:firstLine="540"/>
        <w:jc w:val="both"/>
        <w:spacing w:before="240"/>
      </w:pPr>
      <w:r>
        <w:rPr>
          <w:sz w:val="24"/>
        </w:rPr>
        <w:t xml:space="preserve">Индекс, отражающий уровень недостижения значения i-й характеристики результата, определяется по формуле:</w:t>
      </w:r>
      <w:r/>
    </w:p>
    <w:p>
      <w:pPr>
        <w:pStyle w:val="617"/>
        <w:ind w:firstLine="540"/>
        <w:jc w:val="both"/>
      </w:pPr>
      <w:r>
        <w:rPr>
          <w:sz w:val="24"/>
        </w:rPr>
      </w:r>
      <w:r/>
    </w:p>
    <w:p>
      <w:pPr>
        <w:pStyle w:val="617"/>
        <w:jc w:val="center"/>
      </w:pPr>
      <w:r>
        <w:rPr>
          <w:sz w:val="24"/>
        </w:rPr>
        <w:t xml:space="preserve">D = 1 - Ti / Si,</w:t>
      </w:r>
      <w:r/>
    </w:p>
    <w:p>
      <w:pPr>
        <w:pStyle w:val="617"/>
        <w:ind w:firstLine="540"/>
        <w:jc w:val="both"/>
      </w:pPr>
      <w:r>
        <w:rPr>
          <w:sz w:val="24"/>
        </w:rPr>
      </w:r>
      <w:r/>
    </w:p>
    <w:p>
      <w:pPr>
        <w:pStyle w:val="617"/>
        <w:ind w:firstLine="540"/>
        <w:jc w:val="both"/>
      </w:pPr>
      <w:r>
        <w:rPr>
          <w:sz w:val="24"/>
        </w:rPr>
        <w:t xml:space="preserve">где:</w:t>
      </w:r>
      <w:r/>
    </w:p>
    <w:p>
      <w:pPr>
        <w:pStyle w:val="617"/>
        <w:ind w:firstLine="540"/>
        <w:jc w:val="both"/>
        <w:spacing w:before="240"/>
      </w:pPr>
      <w:r>
        <w:rPr>
          <w:sz w:val="24"/>
        </w:rPr>
        <w:t xml:space="preserve">Ti - фактически достигнутое значение i-й характеристики результата на отчетную дату;</w:t>
      </w:r>
      <w:r/>
    </w:p>
    <w:p>
      <w:pPr>
        <w:pStyle w:val="617"/>
        <w:ind w:firstLine="540"/>
        <w:jc w:val="both"/>
        <w:spacing w:before="240"/>
      </w:pPr>
      <w:r>
        <w:rPr>
          <w:sz w:val="24"/>
        </w:rPr>
        <w:t xml:space="preserve">Si - плановое значение i-й характеристики результата, установленное соглашением.</w:t>
      </w:r>
      <w:r/>
    </w:p>
    <w:p>
      <w:pPr>
        <w:pStyle w:val="617"/>
        <w:ind w:firstLine="540"/>
        <w:jc w:val="both"/>
      </w:pPr>
      <w:r>
        <w:rPr>
          <w:sz w:val="24"/>
        </w:rPr>
      </w:r>
      <w:r/>
    </w:p>
    <w:p>
      <w:pPr>
        <w:pStyle w:val="617"/>
        <w:ind w:firstLine="540"/>
        <w:jc w:val="both"/>
      </w:pPr>
      <w:r>
        <w:rPr>
          <w:sz w:val="24"/>
        </w:rPr>
        <w:t xml:space="preserve">В случае недостижения получателем субсидии значений характеристик результата сроки возврата субсидии определяются в порядке, определенном в </w:t>
      </w:r>
      <w:hyperlink w:tooltip="5.3. В случае нарушения получателем субсидии условий и порядка, установленных при предоставлении субсидии, выявленных в том числе по фактам проверок, проведенных Комитетом и органом государственного финансового контроля, а также в случае недостижения значения результата предоставления субсидии средства субсидии, использованные с нарушением, а также остаток субсидии (сумма, которая не была использована получателем субсидии за период со дня ее получения получателем субсидии до дня получения требования, ука..." w:anchor="P363" w:history="1">
        <w:r>
          <w:rPr>
            <w:color w:val="0000ff"/>
            <w:sz w:val="24"/>
          </w:rPr>
          <w:t xml:space="preserve">пункте 5.3</w:t>
        </w:r>
      </w:hyperlink>
      <w:r>
        <w:rPr>
          <w:sz w:val="24"/>
        </w:rPr>
        <w:t xml:space="preserve"> настоящего Порядка.</w:t>
      </w:r>
      <w:r/>
    </w:p>
    <w:p>
      <w:pPr>
        <w:pStyle w:val="617"/>
        <w:ind w:firstLine="540"/>
        <w:jc w:val="both"/>
        <w:spacing w:before="240"/>
      </w:pPr>
      <w:r>
        <w:rPr>
          <w:sz w:val="24"/>
        </w:rPr>
        <w:t xml:space="preserve">5.5. Основанием для освобождения получателей субсидии от применения мер ответственности, предусмотренных в </w:t>
      </w:r>
      <w:hyperlink w:tooltip="5.3. В случае нарушения получателем субсидии условий и порядка, установленных при предоставлении субсидии, выявленных в том числе по фактам проверок, проведенных Комитетом и органом государственного финансового контроля, а также в случае недостижения значения результата предоставления субсидии средства субсидии, использованные с нарушением, а также остаток субсидии (сумма, которая не была использована получателем субсидии за период со дня ее получения получателем субсидии до дня получения требования, ука..." w:anchor="P363" w:history="1">
        <w:r>
          <w:rPr>
            <w:color w:val="0000ff"/>
            <w:sz w:val="24"/>
          </w:rPr>
          <w:t xml:space="preserve">пунктах 5.3</w:t>
        </w:r>
      </w:hyperlink>
      <w:r>
        <w:rPr>
          <w:sz w:val="24"/>
        </w:rPr>
        <w:t xml:space="preserve">, </w:t>
      </w:r>
      <w:hyperlink w:tooltip="5.4. В случае недостижения получателем субсидии значений характеристик результата средства субсидии подлежат возврату, размер подлежащих возврату средств рассчитывается по формуле:" w:anchor="P366" w:history="1">
        <w:r>
          <w:rPr>
            <w:color w:val="0000ff"/>
            <w:sz w:val="24"/>
          </w:rPr>
          <w:t xml:space="preserve">5.4</w:t>
        </w:r>
      </w:hyperlink>
      <w:r>
        <w:rPr>
          <w:sz w:val="24"/>
        </w:rPr>
        <w:t xml:space="preserve"> настоящего Порядка,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r/>
    </w:p>
    <w:p>
      <w:pPr>
        <w:pStyle w:val="617"/>
        <w:ind w:firstLine="540"/>
        <w:jc w:val="both"/>
        <w:spacing w:before="240"/>
      </w:pPr>
      <w:r>
        <w:rPr>
          <w:sz w:val="24"/>
        </w:rPr>
        <w:t xml:space="preserve">установления регионального (межмуниципального) и(или) местного уровня реагирования на чрезвычайную ситуацию, подтвержденного правовым актом органа государственной власти Ленинградской области и(или) органа местного самоуправления;</w:t>
      </w:r>
      <w:r/>
    </w:p>
    <w:p>
      <w:pPr>
        <w:pStyle w:val="617"/>
        <w:ind w:firstLine="540"/>
        <w:jc w:val="both"/>
        <w:spacing w:before="240"/>
      </w:pPr>
      <w:r>
        <w:rPr>
          <w:sz w:val="24"/>
        </w:rPr>
        <w:t xml:space="preserve">установления карантина и(или) иных ограничений, направленных на предотвращение распространения и ликвидацию очагов заразных и иных болезней животных, подтвержденного правовым актом органа государственной власти Ленинградской области;</w:t>
      </w:r>
      <w:r/>
    </w:p>
    <w:p>
      <w:pPr>
        <w:pStyle w:val="617"/>
        <w:ind w:firstLine="540"/>
        <w:jc w:val="both"/>
        <w:spacing w:before="240"/>
      </w:pPr>
      <w:r>
        <w:rPr>
          <w:sz w:val="24"/>
        </w:rPr>
        <w:t xml:space="preserve">аномальных погодных условий, подтвержденных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r/>
    </w:p>
    <w:p>
      <w:pPr>
        <w:pStyle w:val="617"/>
        <w:ind w:firstLine="540"/>
        <w:jc w:val="both"/>
        <w:spacing w:before="240"/>
      </w:pPr>
      <w:r>
        <w:rPr>
          <w:sz w:val="24"/>
        </w:rPr>
        <w:t xml:space="preserve">Комитет на основании представленных получателем субсидии документов, подтверждающих наступление обстоятельств непреодолимой</w:t>
      </w:r>
      <w:r>
        <w:rPr>
          <w:sz w:val="24"/>
        </w:rPr>
        <w:t xml:space="preserve"> силы, вследствие которых соответствующие обязательства не исполнены, готовит заключение о причинах недостижения значений результатов использования субсидии, а также о целесообразности продления срока достижения значений результатов использования субсидии.</w:t>
      </w:r>
      <w:r/>
    </w:p>
    <w:p>
      <w:pPr>
        <w:pStyle w:val="617"/>
        <w:ind w:firstLine="540"/>
        <w:jc w:val="both"/>
        <w:spacing w:before="240"/>
      </w:pPr>
      <w:r>
        <w:rPr>
          <w:sz w:val="24"/>
        </w:rPr>
        <w:t xml:space="preserve">Возникновение обстоятельств непреодолимой силы</w:t>
      </w:r>
      <w:r>
        <w:rPr>
          <w:sz w:val="24"/>
        </w:rPr>
        <w:t xml:space="preserve">, препятствующих достижению установленных результатов и характеристик, подтверждается получателем субсидии документально в сроки, установленные для представления в Комитет отчетности о достижении значений результата предоставления субсидии и характеристик.</w:t>
      </w:r>
      <w:r/>
    </w:p>
    <w:p>
      <w:pPr>
        <w:pStyle w:val="617"/>
        <w:ind w:firstLine="540"/>
        <w:jc w:val="both"/>
        <w:spacing w:before="240"/>
      </w:pPr>
      <w:r>
        <w:rPr>
          <w:sz w:val="24"/>
        </w:rPr>
        <w:t xml:space="preserve">5.6. В случае неперечисления получателями субсидии средств субсидии в областной бюджет в течение срока, указанного в </w:t>
      </w:r>
      <w:hyperlink w:tooltip="5.3. В случае нарушения получателем субсидии условий и порядка, установленных при предоставлении субсидии, выявленных в том числе по фактам проверок, проведенных Комитетом и органом государственного финансового контроля, а также в случае недостижения значения результата предоставления субсидии средства субсидии, использованные с нарушением, а также остаток субсидии (сумма, которая не была использована получателем субсидии за период со дня ее получения получателем субсидии до дня получения требования, ука..." w:anchor="P363" w:history="1">
        <w:r>
          <w:rPr>
            <w:color w:val="0000ff"/>
            <w:sz w:val="24"/>
          </w:rPr>
          <w:t xml:space="preserve">пункте 5.3</w:t>
        </w:r>
      </w:hyperlink>
      <w:r>
        <w:rPr>
          <w:sz w:val="24"/>
        </w:rPr>
        <w:t xml:space="preserve"> настоящего Порядка, взыскание денежных средств осуществляется в судебном порядке.</w:t>
      </w:r>
      <w:r/>
    </w:p>
    <w:p>
      <w:pPr>
        <w:pStyle w:val="617"/>
        <w:ind w:firstLine="540"/>
        <w:jc w:val="both"/>
      </w:pPr>
      <w:r>
        <w:rPr>
          <w:sz w:val="24"/>
        </w:rPr>
      </w:r>
      <w:r/>
    </w:p>
    <w:p>
      <w:pPr>
        <w:pStyle w:val="617"/>
        <w:ind w:firstLine="540"/>
        <w:jc w:val="both"/>
      </w:pPr>
      <w:r>
        <w:rPr>
          <w:sz w:val="24"/>
        </w:rPr>
      </w:r>
      <w:r/>
    </w:p>
    <w:p>
      <w:pPr>
        <w:pStyle w:val="617"/>
        <w:ind w:firstLine="540"/>
        <w:jc w:val="both"/>
      </w:pPr>
      <w:r>
        <w:rPr>
          <w:sz w:val="24"/>
        </w:rPr>
      </w:r>
      <w:r/>
    </w:p>
    <w:p>
      <w:pPr>
        <w:pStyle w:val="617"/>
        <w:ind w:firstLine="540"/>
        <w:jc w:val="both"/>
      </w:pPr>
      <w:r>
        <w:rPr>
          <w:sz w:val="24"/>
        </w:rPr>
      </w:r>
      <w:r/>
    </w:p>
    <w:p>
      <w:pPr>
        <w:pStyle w:val="617"/>
        <w:ind w:firstLine="540"/>
        <w:jc w:val="both"/>
      </w:pPr>
      <w:r>
        <w:rPr>
          <w:sz w:val="24"/>
        </w:rPr>
      </w:r>
      <w:r/>
    </w:p>
    <w:p>
      <w:pPr>
        <w:pStyle w:val="617"/>
        <w:jc w:val="right"/>
        <w:outlineLvl w:val="1"/>
      </w:pPr>
      <w:r>
        <w:rPr>
          <w:sz w:val="24"/>
        </w:rPr>
        <w:t xml:space="preserve">Приложение 1</w:t>
      </w:r>
      <w:r/>
    </w:p>
    <w:p>
      <w:pPr>
        <w:pStyle w:val="617"/>
        <w:jc w:val="right"/>
      </w:pPr>
      <w:r>
        <w:rPr>
          <w:sz w:val="24"/>
        </w:rPr>
        <w:t xml:space="preserve">к Порядку...</w:t>
      </w:r>
      <w:r/>
    </w:p>
    <w:p>
      <w:pPr>
        <w:pStyle w:val="617"/>
        <w:jc w:val="center"/>
      </w:pPr>
      <w:r>
        <w:rPr>
          <w:sz w:val="24"/>
        </w:rPr>
      </w:r>
      <w:r/>
    </w:p>
    <w:p>
      <w:pPr>
        <w:pStyle w:val="619"/>
        <w:jc w:val="center"/>
      </w:pPr>
      <w:r>
        <w:rPr>
          <w:sz w:val="24"/>
        </w:rPr>
        <w:t xml:space="preserve">ПОЛОЖЕНИЕ</w:t>
      </w:r>
      <w:r/>
    </w:p>
    <w:p>
      <w:pPr>
        <w:pStyle w:val="619"/>
        <w:jc w:val="center"/>
      </w:pPr>
      <w:r>
        <w:rPr>
          <w:sz w:val="24"/>
        </w:rPr>
        <w:t xml:space="preserve">О ДЕЯТЕЛЬНОСТИ ЭКСПЕРТНОГО СОВЕТА И ЭКСПЕРТОВ</w:t>
      </w:r>
      <w:r/>
    </w:p>
    <w:p>
      <w:pPr>
        <w:pStyle w:val="617"/>
        <w:jc w:val="center"/>
      </w:pPr>
      <w:r>
        <w:rPr>
          <w:sz w:val="24"/>
        </w:rPr>
      </w:r>
      <w:r/>
    </w:p>
    <w:p>
      <w:pPr>
        <w:pStyle w:val="617"/>
        <w:jc w:val="center"/>
      </w:pPr>
      <w:r>
        <w:rPr>
          <w:sz w:val="24"/>
        </w:rPr>
        <w:t xml:space="preserve">Утратило силу. - </w:t>
      </w:r>
      <w:hyperlink r:id="rId83"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Постановление</w:t>
        </w:r>
      </w:hyperlink>
      <w:r>
        <w:rPr>
          <w:sz w:val="24"/>
        </w:rPr>
        <w:t xml:space="preserve"> Правительства Ленинградской</w:t>
      </w:r>
      <w:r/>
    </w:p>
    <w:p>
      <w:pPr>
        <w:pStyle w:val="617"/>
        <w:jc w:val="center"/>
      </w:pPr>
      <w:r>
        <w:rPr>
          <w:sz w:val="24"/>
        </w:rPr>
        <w:t xml:space="preserve">области от 26.08.2026 N 682.</w:t>
      </w:r>
      <w:r/>
    </w:p>
    <w:p>
      <w:pPr>
        <w:pStyle w:val="617"/>
      </w:pPr>
      <w:r>
        <w:rPr>
          <w:sz w:val="24"/>
        </w:rPr>
      </w:r>
      <w:r/>
    </w:p>
    <w:p>
      <w:pPr>
        <w:pStyle w:val="617"/>
      </w:pPr>
      <w:r>
        <w:rPr>
          <w:sz w:val="24"/>
        </w:rPr>
      </w:r>
      <w:r/>
    </w:p>
    <w:p>
      <w:pPr>
        <w:pStyle w:val="617"/>
      </w:pPr>
      <w:r>
        <w:rPr>
          <w:sz w:val="24"/>
        </w:rPr>
      </w:r>
      <w:r/>
    </w:p>
    <w:p>
      <w:pPr>
        <w:pStyle w:val="617"/>
      </w:pPr>
      <w:r>
        <w:rPr>
          <w:sz w:val="24"/>
        </w:rPr>
      </w:r>
      <w:r/>
    </w:p>
    <w:p>
      <w:pPr>
        <w:pStyle w:val="617"/>
      </w:pPr>
      <w:r>
        <w:rPr>
          <w:sz w:val="24"/>
        </w:rPr>
      </w:r>
      <w:r/>
    </w:p>
    <w:p>
      <w:pPr>
        <w:pStyle w:val="617"/>
        <w:jc w:val="right"/>
        <w:outlineLvl w:val="1"/>
      </w:pPr>
      <w:r>
        <w:rPr>
          <w:sz w:val="24"/>
        </w:rPr>
        <w:t xml:space="preserve">Приложение 2</w:t>
      </w:r>
      <w:r/>
    </w:p>
    <w:p>
      <w:pPr>
        <w:pStyle w:val="617"/>
        <w:jc w:val="right"/>
      </w:pPr>
      <w:r>
        <w:rPr>
          <w:sz w:val="24"/>
        </w:rPr>
        <w:t xml:space="preserve">к Порядку...</w:t>
      </w:r>
      <w:r/>
    </w:p>
    <w:p>
      <w:pPr>
        <w:pStyle w:val="617"/>
      </w:pPr>
      <w:r>
        <w:rPr>
          <w:sz w:val="24"/>
        </w:rPr>
      </w:r>
      <w:r/>
    </w:p>
    <w:p>
      <w:pPr>
        <w:pStyle w:val="619"/>
        <w:jc w:val="center"/>
      </w:pPr>
      <w:r/>
      <w:bookmarkStart w:id="427" w:name="P427"/>
      <w:r/>
      <w:bookmarkEnd w:id="427"/>
      <w:r>
        <w:rPr>
          <w:sz w:val="24"/>
        </w:rPr>
        <w:t xml:space="preserve">МЕТОДИЧЕСКИЕ РЕКОМЕНДАЦИИ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617"/>
              <w:jc w:val="center"/>
            </w:pPr>
            <w:r>
              <w:rPr>
                <w:color w:val="392c69"/>
                <w:sz w:val="24"/>
              </w:rPr>
              <w:t xml:space="preserve">Список изменяющих документов</w:t>
            </w:r>
            <w:r/>
          </w:p>
          <w:p>
            <w:pPr>
              <w:pStyle w:val="617"/>
              <w:jc w:val="center"/>
            </w:pPr>
            <w:r>
              <w:rPr>
                <w:color w:val="392c69"/>
                <w:sz w:val="24"/>
              </w:rPr>
              <w:t xml:space="preserve">(введены </w:t>
            </w:r>
            <w:hyperlink r:id="rId84" w:tooltip="Постановление Правительства Ленинградской области от 30.12.2025 N 1129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инвалидов, в рамках государственной программы Ленинградской области &quot;Устойчивое общественное р {КонсультантПлюс}" w:history="1">
              <w:r>
                <w:rPr>
                  <w:color w:val="0000ff"/>
                  <w:sz w:val="24"/>
                </w:rPr>
                <w:t xml:space="preserve">Постановлением</w:t>
              </w:r>
            </w:hyperlink>
            <w:r>
              <w:rPr>
                <w:color w:val="392c69"/>
                <w:sz w:val="24"/>
              </w:rPr>
              <w:t xml:space="preserve"> Правительства Ленинградской области</w:t>
            </w:r>
            <w:r/>
          </w:p>
          <w:p>
            <w:pPr>
              <w:pStyle w:val="617"/>
              <w:jc w:val="center"/>
            </w:pPr>
            <w:r>
              <w:rPr>
                <w:color w:val="392c69"/>
                <w:sz w:val="24"/>
              </w:rPr>
              <w:t xml:space="preserve">от 30.12.2025 N 1129; в ред. </w:t>
            </w:r>
            <w:hyperlink r:id="rId85"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color w:val="392c69"/>
                <w:sz w:val="24"/>
              </w:rPr>
              <w:t xml:space="preserve"> Правительства Ленинградской</w:t>
            </w:r>
            <w:r/>
          </w:p>
          <w:p>
            <w:pPr>
              <w:pStyle w:val="617"/>
              <w:jc w:val="center"/>
            </w:pPr>
            <w:r>
              <w:rPr>
                <w:color w:val="392c69"/>
                <w:sz w:val="24"/>
              </w:rPr>
              <w:t xml:space="preserve">области от 26.08.2026 N 682)</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617"/>
        <w:jc w:val="center"/>
      </w:pPr>
      <w:r>
        <w:rPr>
          <w:sz w:val="24"/>
        </w:rPr>
      </w:r>
      <w:r/>
    </w:p>
    <w:p>
      <w:pPr>
        <w:pStyle w:val="619"/>
        <w:jc w:val="center"/>
        <w:outlineLvl w:val="2"/>
      </w:pPr>
      <w:r>
        <w:rPr>
          <w:sz w:val="24"/>
        </w:rPr>
        <w:t xml:space="preserve">1. Общие положения</w:t>
      </w:r>
      <w:r/>
    </w:p>
    <w:p>
      <w:pPr>
        <w:pStyle w:val="617"/>
        <w:jc w:val="center"/>
      </w:pPr>
      <w:r>
        <w:rPr>
          <w:sz w:val="24"/>
        </w:rPr>
      </w:r>
      <w:r/>
    </w:p>
    <w:p>
      <w:pPr>
        <w:pStyle w:val="617"/>
        <w:ind w:firstLine="540"/>
        <w:jc w:val="both"/>
      </w:pPr>
      <w:r>
        <w:rPr>
          <w:sz w:val="24"/>
        </w:rPr>
        <w:t xml:space="preserve">1.1. Настоящие Методические рекомендации определяют порядок проведения экспертизы заявок.</w:t>
      </w:r>
      <w:r/>
    </w:p>
    <w:p>
      <w:pPr>
        <w:pStyle w:val="617"/>
        <w:ind w:firstLine="540"/>
        <w:jc w:val="both"/>
        <w:spacing w:before="240"/>
      </w:pPr>
      <w:r>
        <w:rPr>
          <w:sz w:val="24"/>
        </w:rPr>
        <w:t xml:space="preserve">1.2. Эксперты, определенные для экспертизы заявок согласно Порядку предоставления с</w:t>
      </w:r>
      <w:r>
        <w:rPr>
          <w:sz w:val="24"/>
        </w:rPr>
        <w:t xml:space="preserve">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"серебряных" волонтеров, инвалидов, в рамках госуд</w:t>
      </w:r>
      <w:r>
        <w:rPr>
          <w:sz w:val="24"/>
        </w:rPr>
        <w:t xml:space="preserve">арственной программы Ленинградской области "Устойчивое общественное развитие в Ленинградской области" (далее - Порядок), проводят экспертизу заявок участников отбора по направлению проектов, на реализацию которых предоставляется субсидия, в соответствии с </w:t>
      </w:r>
      <w:hyperlink w:tooltip="2.1. Комитет осуществляет предоставление субсидии на реализацию СО НКО проектов по следующим направлениям:" w:anchor="P106" w:history="1">
        <w:r>
          <w:rPr>
            <w:color w:val="0000ff"/>
            <w:sz w:val="24"/>
          </w:rPr>
          <w:t xml:space="preserve">пунктом 2.1</w:t>
        </w:r>
      </w:hyperlink>
      <w:r>
        <w:rPr>
          <w:sz w:val="24"/>
        </w:rPr>
        <w:t xml:space="preserve"> Порядка, указанному в объявлении о проведении отбора (далее - экспертиза заявок).</w:t>
      </w:r>
      <w:r/>
    </w:p>
    <w:p>
      <w:pPr>
        <w:pStyle w:val="617"/>
        <w:jc w:val="center"/>
      </w:pPr>
      <w:r>
        <w:rPr>
          <w:sz w:val="24"/>
        </w:rPr>
      </w:r>
      <w:r/>
    </w:p>
    <w:p>
      <w:pPr>
        <w:pStyle w:val="619"/>
        <w:jc w:val="center"/>
        <w:outlineLvl w:val="2"/>
      </w:pPr>
      <w:r>
        <w:rPr>
          <w:sz w:val="24"/>
        </w:rPr>
        <w:t xml:space="preserve">2. Выставление экспертами баллов при проведении экспертизы</w:t>
      </w:r>
      <w:r/>
    </w:p>
    <w:p>
      <w:pPr>
        <w:pStyle w:val="617"/>
        <w:jc w:val="center"/>
      </w:pPr>
      <w:r>
        <w:rPr>
          <w:sz w:val="24"/>
        </w:rPr>
      </w:r>
      <w:r/>
    </w:p>
    <w:p>
      <w:pPr>
        <w:pStyle w:val="617"/>
        <w:ind w:firstLine="540"/>
        <w:jc w:val="both"/>
      </w:pPr>
      <w:r>
        <w:rPr>
          <w:sz w:val="24"/>
        </w:rPr>
        <w:t xml:space="preserve">2.1. Эксперт проводит экспертизу заявок и представленных в ее составе документов. При проведении экспертизы заявок эксперт может использовать информацию из открытых источников в информационно-телекоммуникационной сети "Интернет" (далее - сеть "Интернет").</w:t>
      </w:r>
      <w:r/>
    </w:p>
    <w:p>
      <w:pPr>
        <w:pStyle w:val="617"/>
        <w:ind w:firstLine="540"/>
        <w:jc w:val="both"/>
        <w:spacing w:before="240"/>
      </w:pPr>
      <w:r>
        <w:rPr>
          <w:sz w:val="24"/>
        </w:rPr>
        <w:t xml:space="preserve">2.2. Эксперт при проведении экспертизы заявок выставляет баллы по каждой заявке, допущенной к оценке, по критериям оценки заявок, определенным </w:t>
      </w:r>
      <w:hyperlink w:tooltip="2.19. Критерии оценки заявок:" w:anchor="P232" w:history="1">
        <w:r>
          <w:rPr>
            <w:color w:val="0000ff"/>
            <w:sz w:val="24"/>
          </w:rPr>
          <w:t xml:space="preserve">пунктом 2.19</w:t>
        </w:r>
      </w:hyperlink>
      <w:r>
        <w:rPr>
          <w:sz w:val="24"/>
        </w:rPr>
        <w:t xml:space="preserve"> Порядка, выставляя по каждому из них от 0 до 100 баллов (целым числом), в соответствии с </w:t>
      </w:r>
      <w:hyperlink w:tooltip="2.5. Определение балльной оценки (от 0 до 100 баллов) по критериям оценки заявок:" w:anchor="P467" w:history="1">
        <w:r>
          <w:rPr>
            <w:color w:val="0000ff"/>
            <w:sz w:val="24"/>
          </w:rPr>
          <w:t xml:space="preserve">пунктом 2.5</w:t>
        </w:r>
      </w:hyperlink>
      <w:r>
        <w:rPr>
          <w:sz w:val="24"/>
        </w:rPr>
        <w:t xml:space="preserve"> настоящих Методических рекомендаций.</w:t>
      </w:r>
      <w:r/>
    </w:p>
    <w:p>
      <w:pPr>
        <w:pStyle w:val="617"/>
        <w:ind w:firstLine="540"/>
        <w:jc w:val="both"/>
        <w:spacing w:before="240"/>
      </w:pPr>
      <w:r/>
      <w:bookmarkStart w:id="442" w:name="P442"/>
      <w:r/>
      <w:bookmarkEnd w:id="442"/>
      <w:r>
        <w:rPr>
          <w:sz w:val="24"/>
        </w:rPr>
        <w:t xml:space="preserve">2.3. Количество баллов каждого эксперта по заявке рассчитывается как сумма баллов, присвоенных заявке по каждому критерию оценки заявок, умноженных на весовое значение соответствующего критерия оценки заявок.</w:t>
      </w:r>
      <w:r/>
    </w:p>
    <w:p>
      <w:pPr>
        <w:pStyle w:val="617"/>
        <w:ind w:firstLine="540"/>
        <w:jc w:val="both"/>
        <w:spacing w:before="240"/>
      </w:pPr>
      <w:r>
        <w:rPr>
          <w:sz w:val="24"/>
        </w:rPr>
        <w:t xml:space="preserve">2.4. Весовое значение критериев оценки заявок:</w:t>
      </w:r>
      <w:r/>
    </w:p>
    <w:p>
      <w:pPr>
        <w:pStyle w:val="617"/>
        <w:ind w:firstLine="540"/>
        <w:jc w:val="both"/>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6520"/>
        <w:gridCol w:w="1984"/>
      </w:tblGrid>
      <w:tr>
        <w:tblPrEx/>
        <w:trPr/>
        <w:tc>
          <w:tcPr>
            <w:tcW w:w="567" w:type="dxa"/>
            <w:textDirection w:val="lrTb"/>
            <w:noWrap w:val="false"/>
          </w:tcPr>
          <w:p>
            <w:pPr>
              <w:pStyle w:val="617"/>
              <w:jc w:val="center"/>
            </w:pPr>
            <w:r>
              <w:rPr>
                <w:sz w:val="24"/>
              </w:rPr>
              <w:t xml:space="preserve">N п/п</w:t>
            </w:r>
            <w:r/>
          </w:p>
        </w:tc>
        <w:tc>
          <w:tcPr>
            <w:tcW w:w="6520" w:type="dxa"/>
            <w:textDirection w:val="lrTb"/>
            <w:noWrap w:val="false"/>
          </w:tcPr>
          <w:p>
            <w:pPr>
              <w:pStyle w:val="617"/>
              <w:jc w:val="center"/>
            </w:pPr>
            <w:r>
              <w:rPr>
                <w:sz w:val="24"/>
              </w:rPr>
              <w:t xml:space="preserve">Критерии оценки заявок</w:t>
            </w:r>
            <w:r/>
          </w:p>
        </w:tc>
        <w:tc>
          <w:tcPr>
            <w:tcW w:w="1984" w:type="dxa"/>
            <w:textDirection w:val="lrTb"/>
            <w:noWrap w:val="false"/>
          </w:tcPr>
          <w:p>
            <w:pPr>
              <w:pStyle w:val="617"/>
              <w:jc w:val="center"/>
            </w:pPr>
            <w:r>
              <w:rPr>
                <w:sz w:val="24"/>
              </w:rPr>
              <w:t xml:space="preserve">Весовое значение, %</w:t>
            </w:r>
            <w:r/>
          </w:p>
        </w:tc>
      </w:tr>
      <w:tr>
        <w:tblPrEx/>
        <w:trPr/>
        <w:tc>
          <w:tcPr>
            <w:tcW w:w="567" w:type="dxa"/>
            <w:textDirection w:val="lrTb"/>
            <w:noWrap w:val="false"/>
          </w:tcPr>
          <w:p>
            <w:pPr>
              <w:pStyle w:val="617"/>
              <w:jc w:val="center"/>
            </w:pPr>
            <w:r>
              <w:rPr>
                <w:sz w:val="24"/>
              </w:rPr>
              <w:t xml:space="preserve">1</w:t>
            </w:r>
            <w:r/>
          </w:p>
        </w:tc>
        <w:tc>
          <w:tcPr>
            <w:tcW w:w="6520" w:type="dxa"/>
            <w:textDirection w:val="lrTb"/>
            <w:noWrap w:val="false"/>
          </w:tcPr>
          <w:p>
            <w:pPr>
              <w:pStyle w:val="617"/>
            </w:pPr>
            <w:r>
              <w:rPr>
                <w:sz w:val="24"/>
              </w:rPr>
              <w:t xml:space="preserve">Логическая связность и реализуемость проекта, соответствие мероприятий проекта его целям, задачам и ожидаемым результатам</w:t>
            </w:r>
            <w:r/>
          </w:p>
        </w:tc>
        <w:tc>
          <w:tcPr>
            <w:tcW w:w="1984" w:type="dxa"/>
            <w:textDirection w:val="lrTb"/>
            <w:noWrap w:val="false"/>
          </w:tcPr>
          <w:p>
            <w:pPr>
              <w:pStyle w:val="617"/>
              <w:jc w:val="center"/>
            </w:pPr>
            <w:r>
              <w:rPr>
                <w:sz w:val="24"/>
              </w:rPr>
              <w:t xml:space="preserve">15</w:t>
            </w:r>
            <w:r/>
          </w:p>
        </w:tc>
      </w:tr>
      <w:tr>
        <w:tblPrEx/>
        <w:trPr/>
        <w:tc>
          <w:tcPr>
            <w:tcW w:w="567" w:type="dxa"/>
            <w:textDirection w:val="lrTb"/>
            <w:noWrap w:val="false"/>
          </w:tcPr>
          <w:p>
            <w:pPr>
              <w:pStyle w:val="617"/>
              <w:jc w:val="center"/>
            </w:pPr>
            <w:r>
              <w:rPr>
                <w:sz w:val="24"/>
              </w:rPr>
              <w:t xml:space="preserve">2</w:t>
            </w:r>
            <w:r/>
          </w:p>
        </w:tc>
        <w:tc>
          <w:tcPr>
            <w:tcW w:w="6520" w:type="dxa"/>
            <w:textDirection w:val="lrTb"/>
            <w:noWrap w:val="false"/>
          </w:tcPr>
          <w:p>
            <w:pPr>
              <w:pStyle w:val="617"/>
            </w:pPr>
            <w:r>
              <w:rPr>
                <w:sz w:val="24"/>
              </w:rPr>
              <w:t xml:space="preserve">Реалистичность бюджета проекта и обоснованность планируемых расходов на реализацию проекта</w:t>
            </w:r>
            <w:r/>
          </w:p>
        </w:tc>
        <w:tc>
          <w:tcPr>
            <w:tcW w:w="1984" w:type="dxa"/>
            <w:textDirection w:val="lrTb"/>
            <w:noWrap w:val="false"/>
          </w:tcPr>
          <w:p>
            <w:pPr>
              <w:pStyle w:val="617"/>
              <w:jc w:val="center"/>
            </w:pPr>
            <w:r>
              <w:rPr>
                <w:sz w:val="24"/>
              </w:rPr>
              <w:t xml:space="preserve">20</w:t>
            </w:r>
            <w:r/>
          </w:p>
        </w:tc>
      </w:tr>
      <w:tr>
        <w:tblPrEx/>
        <w:trPr/>
        <w:tc>
          <w:tcPr>
            <w:tcW w:w="567" w:type="dxa"/>
            <w:textDirection w:val="lrTb"/>
            <w:noWrap w:val="false"/>
          </w:tcPr>
          <w:p>
            <w:pPr>
              <w:pStyle w:val="617"/>
              <w:jc w:val="center"/>
            </w:pPr>
            <w:r>
              <w:rPr>
                <w:sz w:val="24"/>
              </w:rPr>
              <w:t xml:space="preserve">3</w:t>
            </w:r>
            <w:r/>
          </w:p>
        </w:tc>
        <w:tc>
          <w:tcPr>
            <w:tcW w:w="6520" w:type="dxa"/>
            <w:textDirection w:val="lrTb"/>
            <w:noWrap w:val="false"/>
          </w:tcPr>
          <w:p>
            <w:pPr>
              <w:pStyle w:val="617"/>
            </w:pPr>
            <w:r>
              <w:rPr>
                <w:sz w:val="24"/>
              </w:rPr>
              <w:t xml:space="preserve">Софинансирование проекта (внебюджетные средства)</w:t>
            </w:r>
            <w:r/>
          </w:p>
        </w:tc>
        <w:tc>
          <w:tcPr>
            <w:tcW w:w="1984" w:type="dxa"/>
            <w:textDirection w:val="lrTb"/>
            <w:noWrap w:val="false"/>
          </w:tcPr>
          <w:p>
            <w:pPr>
              <w:pStyle w:val="617"/>
              <w:jc w:val="center"/>
            </w:pPr>
            <w:r>
              <w:rPr>
                <w:sz w:val="24"/>
              </w:rPr>
              <w:t xml:space="preserve">5</w:t>
            </w:r>
            <w:r/>
          </w:p>
        </w:tc>
      </w:tr>
      <w:tr>
        <w:tblPrEx/>
        <w:trPr/>
        <w:tc>
          <w:tcPr>
            <w:tcW w:w="567" w:type="dxa"/>
            <w:textDirection w:val="lrTb"/>
            <w:noWrap w:val="false"/>
          </w:tcPr>
          <w:p>
            <w:pPr>
              <w:pStyle w:val="617"/>
              <w:jc w:val="center"/>
            </w:pPr>
            <w:r>
              <w:rPr>
                <w:sz w:val="24"/>
              </w:rPr>
              <w:t xml:space="preserve">4</w:t>
            </w:r>
            <w:r/>
          </w:p>
        </w:tc>
        <w:tc>
          <w:tcPr>
            <w:tcW w:w="6520" w:type="dxa"/>
            <w:textDirection w:val="lrTb"/>
            <w:noWrap w:val="false"/>
          </w:tcPr>
          <w:p>
            <w:pPr>
              <w:pStyle w:val="617"/>
            </w:pPr>
            <w:r>
              <w:rPr>
                <w:sz w:val="24"/>
              </w:rPr>
              <w:t xml:space="preserve">Опыт участника отбора по успешной реализации аналогичных проектов</w:t>
            </w:r>
            <w:r/>
          </w:p>
        </w:tc>
        <w:tc>
          <w:tcPr>
            <w:tcW w:w="1984" w:type="dxa"/>
            <w:textDirection w:val="lrTb"/>
            <w:noWrap w:val="false"/>
          </w:tcPr>
          <w:p>
            <w:pPr>
              <w:pStyle w:val="617"/>
              <w:jc w:val="center"/>
            </w:pPr>
            <w:r>
              <w:rPr>
                <w:sz w:val="24"/>
              </w:rPr>
              <w:t xml:space="preserve">25</w:t>
            </w:r>
            <w:r/>
          </w:p>
        </w:tc>
      </w:tr>
      <w:tr>
        <w:tblPrEx/>
        <w:trPr/>
        <w:tc>
          <w:tcPr>
            <w:tcW w:w="567" w:type="dxa"/>
            <w:textDirection w:val="lrTb"/>
            <w:noWrap w:val="false"/>
          </w:tcPr>
          <w:p>
            <w:pPr>
              <w:pStyle w:val="617"/>
              <w:jc w:val="center"/>
            </w:pPr>
            <w:r>
              <w:rPr>
                <w:sz w:val="24"/>
              </w:rPr>
              <w:t xml:space="preserve">5</w:t>
            </w:r>
            <w:r/>
          </w:p>
        </w:tc>
        <w:tc>
          <w:tcPr>
            <w:tcW w:w="6520" w:type="dxa"/>
            <w:textDirection w:val="lrTb"/>
            <w:noWrap w:val="false"/>
          </w:tcPr>
          <w:p>
            <w:pPr>
              <w:pStyle w:val="617"/>
            </w:pPr>
            <w:r>
              <w:rPr>
                <w:sz w:val="24"/>
              </w:rPr>
              <w:t xml:space="preserve">Охват территории, на которой представлена организация, и(или) количество благополучателей</w:t>
            </w:r>
            <w:r/>
          </w:p>
        </w:tc>
        <w:tc>
          <w:tcPr>
            <w:tcW w:w="1984" w:type="dxa"/>
            <w:textDirection w:val="lrTb"/>
            <w:noWrap w:val="false"/>
          </w:tcPr>
          <w:p>
            <w:pPr>
              <w:pStyle w:val="617"/>
              <w:jc w:val="center"/>
            </w:pPr>
            <w:r>
              <w:rPr>
                <w:sz w:val="24"/>
              </w:rPr>
              <w:t xml:space="preserve">25</w:t>
            </w:r>
            <w:r/>
          </w:p>
        </w:tc>
      </w:tr>
      <w:tr>
        <w:tblPrEx/>
        <w:trPr/>
        <w:tc>
          <w:tcPr>
            <w:tcW w:w="567" w:type="dxa"/>
            <w:textDirection w:val="lrTb"/>
            <w:noWrap w:val="false"/>
          </w:tcPr>
          <w:p>
            <w:pPr>
              <w:pStyle w:val="617"/>
              <w:jc w:val="center"/>
            </w:pPr>
            <w:r>
              <w:rPr>
                <w:sz w:val="24"/>
              </w:rPr>
              <w:t xml:space="preserve">6</w:t>
            </w:r>
            <w:r/>
          </w:p>
        </w:tc>
        <w:tc>
          <w:tcPr>
            <w:tcW w:w="6520" w:type="dxa"/>
            <w:textDirection w:val="lrTb"/>
            <w:noWrap w:val="false"/>
          </w:tcPr>
          <w:p>
            <w:pPr>
              <w:pStyle w:val="617"/>
            </w:pPr>
            <w:r>
              <w:rPr>
                <w:sz w:val="24"/>
              </w:rPr>
              <w:t xml:space="preserve">Информационная открытость участника отбора</w:t>
            </w:r>
            <w:r/>
          </w:p>
        </w:tc>
        <w:tc>
          <w:tcPr>
            <w:tcW w:w="1984" w:type="dxa"/>
            <w:textDirection w:val="lrTb"/>
            <w:noWrap w:val="false"/>
          </w:tcPr>
          <w:p>
            <w:pPr>
              <w:pStyle w:val="617"/>
              <w:jc w:val="center"/>
            </w:pPr>
            <w:r>
              <w:rPr>
                <w:sz w:val="24"/>
              </w:rPr>
              <w:t xml:space="preserve">10</w:t>
            </w:r>
            <w:r/>
          </w:p>
        </w:tc>
      </w:tr>
    </w:tbl>
    <w:p>
      <w:pPr>
        <w:pStyle w:val="617"/>
        <w:ind w:firstLine="540"/>
        <w:jc w:val="both"/>
      </w:pPr>
      <w:r>
        <w:rPr>
          <w:sz w:val="24"/>
        </w:rPr>
      </w:r>
      <w:r/>
    </w:p>
    <w:p>
      <w:pPr>
        <w:pStyle w:val="617"/>
        <w:ind w:firstLine="540"/>
        <w:jc w:val="both"/>
      </w:pPr>
      <w:r/>
      <w:bookmarkStart w:id="467" w:name="P467"/>
      <w:r/>
      <w:bookmarkEnd w:id="467"/>
      <w:r>
        <w:rPr>
          <w:sz w:val="24"/>
        </w:rPr>
        <w:t xml:space="preserve">2.5. Определение балльной оценки (от 0 до 100 баллов) по критериям оценки заявок:</w:t>
      </w:r>
      <w:r/>
    </w:p>
    <w:p>
      <w:pPr>
        <w:pStyle w:val="617"/>
        <w:ind w:firstLine="540"/>
        <w:jc w:val="both"/>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1417"/>
        <w:gridCol w:w="7654"/>
      </w:tblGrid>
      <w:tr>
        <w:tblPrEx/>
        <w:trPr/>
        <w:tc>
          <w:tcPr>
            <w:gridSpan w:val="2"/>
            <w:tcW w:w="9071" w:type="dxa"/>
            <w:textDirection w:val="lrTb"/>
            <w:noWrap w:val="false"/>
          </w:tcPr>
          <w:p>
            <w:pPr>
              <w:pStyle w:val="617"/>
              <w:jc w:val="center"/>
            </w:pPr>
            <w:r>
              <w:rPr>
                <w:sz w:val="24"/>
              </w:rPr>
              <w:t xml:space="preserve">1. Логическая связность и реализуемость проекта, соответствие мероприятий проекта его целям, задачам и ожидаемым результатам</w:t>
            </w:r>
            <w:r/>
          </w:p>
        </w:tc>
      </w:tr>
      <w:tr>
        <w:tblPrEx/>
        <w:trPr/>
        <w:tc>
          <w:tcPr>
            <w:tcW w:w="1417" w:type="dxa"/>
            <w:textDirection w:val="lrTb"/>
            <w:noWrap w:val="false"/>
          </w:tcPr>
          <w:p>
            <w:pPr>
              <w:pStyle w:val="617"/>
              <w:jc w:val="center"/>
            </w:pPr>
            <w:r>
              <w:rPr>
                <w:sz w:val="24"/>
              </w:rPr>
              <w:t xml:space="preserve">100 баллов</w:t>
            </w:r>
            <w:r/>
          </w:p>
        </w:tc>
        <w:tc>
          <w:tcPr>
            <w:tcW w:w="7654" w:type="dxa"/>
            <w:textDirection w:val="lrTb"/>
            <w:noWrap w:val="false"/>
          </w:tcPr>
          <w:p>
            <w:pPr>
              <w:pStyle w:val="617"/>
            </w:pPr>
            <w:r>
              <w:rPr>
                <w:sz w:val="24"/>
              </w:rPr>
              <w:t xml:space="preserve">Проект полностью соответствует данному критерию оценки заявок:</w:t>
            </w:r>
            <w:r/>
          </w:p>
          <w:p>
            <w:pPr>
              <w:pStyle w:val="617"/>
            </w:pPr>
            <w:r>
              <w:rPr>
                <w:sz w:val="24"/>
              </w:rPr>
              <w:t xml:space="preserve">все разделы заявки логически взаимосвязаны, каждый раздел содержит информацию, необходимую и достаточную для полного понимания содержания проекта;</w:t>
            </w:r>
            <w:r/>
          </w:p>
          <w:p>
            <w:pPr>
              <w:pStyle w:val="617"/>
            </w:pPr>
            <w:r>
              <w:rPr>
                <w:sz w:val="24"/>
              </w:rPr>
              <w:t xml:space="preserve">календарный план структурирован, детализирован, содержит описание конкретных мероприятий;</w:t>
            </w:r>
            <w:r/>
          </w:p>
          <w:p>
            <w:pPr>
              <w:pStyle w:val="617"/>
            </w:pPr>
            <w:r>
              <w:rPr>
                <w:sz w:val="24"/>
              </w:rPr>
              <w:t xml:space="preserve">запланированные мероприятия соответствуют условиям конкурса и обеспечивают решение поставленных задач и достижение предполагаемого результата проекта;</w:t>
            </w:r>
            <w:r/>
          </w:p>
          <w:p>
            <w:pPr>
              <w:pStyle w:val="617"/>
            </w:pPr>
            <w:r>
              <w:rPr>
                <w:sz w:val="24"/>
              </w:rPr>
              <w:t xml:space="preserve">указаны конкретные и разумные сроки реализации проекта, позволяющие в полном объеме решить задачи проекта</w:t>
            </w:r>
            <w:r/>
          </w:p>
        </w:tc>
      </w:tr>
      <w:tr>
        <w:tblPrEx/>
        <w:trPr/>
        <w:tc>
          <w:tcPr>
            <w:tcW w:w="1417" w:type="dxa"/>
            <w:textDirection w:val="lrTb"/>
            <w:noWrap w:val="false"/>
          </w:tcPr>
          <w:p>
            <w:pPr>
              <w:pStyle w:val="617"/>
              <w:jc w:val="center"/>
            </w:pPr>
            <w:r>
              <w:rPr>
                <w:sz w:val="24"/>
              </w:rPr>
              <w:t xml:space="preserve">70 баллов</w:t>
            </w:r>
            <w:r/>
          </w:p>
        </w:tc>
        <w:tc>
          <w:tcPr>
            <w:tcW w:w="7654" w:type="dxa"/>
            <w:textDirection w:val="lrTb"/>
            <w:noWrap w:val="false"/>
          </w:tcPr>
          <w:p>
            <w:pPr>
              <w:pStyle w:val="617"/>
            </w:pPr>
            <w:r>
              <w:rPr>
                <w:sz w:val="24"/>
              </w:rPr>
              <w:t xml:space="preserve">По данному критерию оценки заявок проект проработан, однако имеются несущественные замечания:</w:t>
            </w:r>
            <w:r/>
          </w:p>
          <w:p>
            <w:pPr>
              <w:pStyle w:val="617"/>
            </w:pPr>
            <w:r>
              <w:rPr>
                <w:sz w:val="24"/>
              </w:rPr>
              <w:t xml:space="preserve">все разделы заявки логически взаимосвязаны, однако имеются несущественные смысловые несоответствия, что нарушает внутреннюю целостность проекта;</w:t>
            </w:r>
            <w:r/>
          </w:p>
          <w:p>
            <w:pPr>
              <w:pStyle w:val="617"/>
            </w:pPr>
            <w:r>
              <w:rPr>
                <w:sz w:val="24"/>
              </w:rPr>
              <w:t xml:space="preserve">запланированные мероприятия соответс</w:t>
            </w:r>
            <w:r>
              <w:rPr>
                <w:sz w:val="24"/>
              </w:rPr>
              <w:t xml:space="preserve">твуют условиям конкурса и обеспечивают решение поставленных задач и достижение предполагаемого результата проекта, вместе с тем состав мероприятий не является полностью оптимальным и(или) сроки выполнения отдельных мероприятий проекта требуют корректировки</w:t>
            </w:r>
            <w:r/>
          </w:p>
        </w:tc>
      </w:tr>
      <w:tr>
        <w:tblPrEx/>
        <w:trPr/>
        <w:tc>
          <w:tcPr>
            <w:tcW w:w="1417" w:type="dxa"/>
            <w:textDirection w:val="lrTb"/>
            <w:noWrap w:val="false"/>
          </w:tcPr>
          <w:p>
            <w:pPr>
              <w:pStyle w:val="617"/>
              <w:jc w:val="center"/>
            </w:pPr>
            <w:r>
              <w:rPr>
                <w:sz w:val="24"/>
              </w:rPr>
              <w:t xml:space="preserve">40 баллов</w:t>
            </w:r>
            <w:r/>
          </w:p>
        </w:tc>
        <w:tc>
          <w:tcPr>
            <w:tcW w:w="7654" w:type="dxa"/>
            <w:textDirection w:val="lrTb"/>
            <w:noWrap w:val="false"/>
          </w:tcPr>
          <w:p>
            <w:pPr>
              <w:pStyle w:val="617"/>
            </w:pPr>
            <w:r>
              <w:rPr>
                <w:sz w:val="24"/>
              </w:rPr>
              <w:t xml:space="preserve">Проект по данному критерию оценки заявок проработан недостаточно, имеются замечания:</w:t>
            </w:r>
            <w:r/>
          </w:p>
          <w:p>
            <w:pPr>
              <w:pStyle w:val="617"/>
            </w:pPr>
            <w:r>
              <w:rPr>
                <w:sz w:val="24"/>
              </w:rPr>
              <w:t xml:space="preserve">календарный план описывает лишь общие направления деятельности, не раскрывает последовательность реализации проекта, не позволяет определить содержание основных мероприятий;</w:t>
            </w:r>
            <w:r/>
          </w:p>
          <w:p>
            <w:pPr>
              <w:pStyle w:val="617"/>
            </w:pPr>
            <w:r>
              <w:rPr>
                <w:sz w:val="24"/>
              </w:rPr>
              <w:t xml:space="preserve">имеются нарушения логической связи между задачами, мероприятиями и предполагаемым результатом</w:t>
            </w:r>
            <w:r/>
          </w:p>
        </w:tc>
      </w:tr>
      <w:tr>
        <w:tblPrEx/>
        <w:trPr/>
        <w:tc>
          <w:tcPr>
            <w:tcW w:w="1417" w:type="dxa"/>
            <w:textDirection w:val="lrTb"/>
            <w:noWrap w:val="false"/>
          </w:tcPr>
          <w:p>
            <w:pPr>
              <w:pStyle w:val="617"/>
              <w:jc w:val="center"/>
            </w:pPr>
            <w:r>
              <w:rPr>
                <w:sz w:val="24"/>
              </w:rPr>
              <w:t xml:space="preserve">0 баллов</w:t>
            </w:r>
            <w:r/>
          </w:p>
        </w:tc>
        <w:tc>
          <w:tcPr>
            <w:tcW w:w="7654" w:type="dxa"/>
            <w:textDirection w:val="lrTb"/>
            <w:noWrap w:val="false"/>
          </w:tcPr>
          <w:p>
            <w:pPr>
              <w:pStyle w:val="617"/>
            </w:pPr>
            <w:r>
              <w:rPr>
                <w:sz w:val="24"/>
              </w:rPr>
              <w:t xml:space="preserve">Проект не соответствует данному критерию оценки заявок:</w:t>
            </w:r>
            <w:r/>
          </w:p>
          <w:p>
            <w:pPr>
              <w:pStyle w:val="617"/>
            </w:pPr>
            <w:r>
              <w:rPr>
                <w:sz w:val="24"/>
              </w:rPr>
              <w:t xml:space="preserve">имеются несоответствия мероприятий проекта его целям и задачам, противоречия между планируемой деятельностью и ожидаемыми результатами;</w:t>
            </w:r>
            <w:r/>
          </w:p>
          <w:p>
            <w:pPr>
              <w:pStyle w:val="617"/>
            </w:pPr>
            <w:r>
              <w:rPr>
                <w:sz w:val="24"/>
              </w:rPr>
              <w:t xml:space="preserve">ошибки в постановке целей, задач, описании мероприятий, результатов проекта, которые делают реализацию проекта нецелесообразной;</w:t>
            </w:r>
            <w:r/>
          </w:p>
          <w:p>
            <w:pPr>
              <w:pStyle w:val="617"/>
            </w:pPr>
            <w:r>
              <w:rPr>
                <w:sz w:val="24"/>
              </w:rPr>
              <w:t xml:space="preserve">сроки выполнения мероприятий некорректны и не соответствуют заявленным целям и задачам проекта, создают значительные риски реализации проекта</w:t>
            </w:r>
            <w:r/>
          </w:p>
        </w:tc>
      </w:tr>
      <w:tr>
        <w:tblPrEx/>
        <w:trPr/>
        <w:tc>
          <w:tcPr>
            <w:gridSpan w:val="2"/>
            <w:tcW w:w="9071" w:type="dxa"/>
            <w:textDirection w:val="lrTb"/>
            <w:noWrap w:val="false"/>
          </w:tcPr>
          <w:p>
            <w:pPr>
              <w:pStyle w:val="617"/>
              <w:jc w:val="center"/>
            </w:pPr>
            <w:r>
              <w:rPr>
                <w:sz w:val="24"/>
              </w:rPr>
              <w:t xml:space="preserve">2. Реалистичность бюджета проекта и обоснованность планируемых расходов на реализацию проекта</w:t>
            </w:r>
            <w:r/>
          </w:p>
        </w:tc>
      </w:tr>
      <w:tr>
        <w:tblPrEx/>
        <w:trPr/>
        <w:tc>
          <w:tcPr>
            <w:tcW w:w="1417" w:type="dxa"/>
            <w:textDirection w:val="lrTb"/>
            <w:noWrap w:val="false"/>
          </w:tcPr>
          <w:p>
            <w:pPr>
              <w:pStyle w:val="617"/>
              <w:jc w:val="center"/>
            </w:pPr>
            <w:r>
              <w:rPr>
                <w:sz w:val="24"/>
              </w:rPr>
              <w:t xml:space="preserve">100 баллов</w:t>
            </w:r>
            <w:r/>
          </w:p>
        </w:tc>
        <w:tc>
          <w:tcPr>
            <w:tcW w:w="7654" w:type="dxa"/>
            <w:textDirection w:val="lrTb"/>
            <w:noWrap w:val="false"/>
          </w:tcPr>
          <w:p>
            <w:pPr>
              <w:pStyle w:val="617"/>
            </w:pPr>
            <w:r>
              <w:rPr>
                <w:sz w:val="24"/>
              </w:rPr>
              <w:t xml:space="preserve">Проект полностью соответствует данному критерию оценки заявок:</w:t>
            </w:r>
            <w:r/>
          </w:p>
          <w:p>
            <w:pPr>
              <w:pStyle w:val="617"/>
            </w:pPr>
            <w:r>
              <w:rPr>
                <w:sz w:val="24"/>
              </w:rPr>
              <w:t xml:space="preserve">в бюджете проекта предусмотрено финансовое обеспечение всех мероприятий проекта и отсутствуют расходы, которые непосредственно не связаны с мероприятиями проекта;</w:t>
            </w:r>
            <w:r/>
          </w:p>
          <w:p>
            <w:pPr>
              <w:pStyle w:val="617"/>
            </w:pPr>
            <w:r>
              <w:rPr>
                <w:sz w:val="24"/>
              </w:rPr>
              <w:t xml:space="preserve">все планируемые расходы обоснованы, в том числе приложенные к заявке документы и(или) представленная информация подтверждают обоснованность представленных в бюджете проекта (смете расходов) затрат;</w:t>
            </w:r>
            <w:r/>
          </w:p>
          <w:p>
            <w:pPr>
              <w:pStyle w:val="617"/>
            </w:pPr>
            <w:r>
              <w:rPr>
                <w:sz w:val="24"/>
              </w:rPr>
              <w:t xml:space="preserve">представлено обоснование по всем предполагаемым расходам за счет гранта, позволяющее четко определить состав (детализацию) расходов;</w:t>
            </w:r>
            <w:r/>
          </w:p>
          <w:p>
            <w:pPr>
              <w:pStyle w:val="617"/>
            </w:pPr>
            <w:r>
              <w:rPr>
                <w:sz w:val="24"/>
              </w:rPr>
              <w:t xml:space="preserve">в проекте предусмотрено активное использование имеющихся у организации ресурсов</w:t>
            </w:r>
            <w:r/>
          </w:p>
        </w:tc>
      </w:tr>
      <w:tr>
        <w:tblPrEx/>
        <w:trPr/>
        <w:tc>
          <w:tcPr>
            <w:tcW w:w="1417" w:type="dxa"/>
            <w:textDirection w:val="lrTb"/>
            <w:noWrap w:val="false"/>
          </w:tcPr>
          <w:p>
            <w:pPr>
              <w:pStyle w:val="617"/>
              <w:jc w:val="center"/>
            </w:pPr>
            <w:r>
              <w:rPr>
                <w:sz w:val="24"/>
              </w:rPr>
              <w:t xml:space="preserve">70 баллов</w:t>
            </w:r>
            <w:r/>
          </w:p>
        </w:tc>
        <w:tc>
          <w:tcPr>
            <w:tcW w:w="7654" w:type="dxa"/>
            <w:textDirection w:val="lrTb"/>
            <w:noWrap w:val="false"/>
          </w:tcPr>
          <w:p>
            <w:pPr>
              <w:pStyle w:val="617"/>
            </w:pPr>
            <w:r>
              <w:rPr>
                <w:sz w:val="24"/>
              </w:rPr>
              <w:t xml:space="preserve">Проект в целом соответствует данному критерию оценки заявок, однако имеются несущественные замечания эксперта:</w:t>
            </w:r>
            <w:r/>
          </w:p>
          <w:p>
            <w:pPr>
              <w:pStyle w:val="617"/>
            </w:pPr>
            <w:r>
              <w:rPr>
                <w:sz w:val="24"/>
              </w:rPr>
              <w:t xml:space="preserve">все планируемые расходы обоснованы, следуют из задач и мероприятий, вместе с те</w:t>
            </w:r>
            <w:r>
              <w:rPr>
                <w:sz w:val="24"/>
              </w:rPr>
              <w:t xml:space="preserve">м из содержания отдельных направлений расходов невозможно определить их состав (детализацию) и(или) приложенные к заявке документы и(или) представленная информация не подтверждают обоснованность затрат по отдельным позициям бюджета проекта (сметы расходов)</w:t>
            </w:r>
            <w:r/>
          </w:p>
        </w:tc>
      </w:tr>
      <w:tr>
        <w:tblPrEx/>
        <w:trPr/>
        <w:tc>
          <w:tcPr>
            <w:tcW w:w="1417" w:type="dxa"/>
            <w:textDirection w:val="lrTb"/>
            <w:noWrap w:val="false"/>
          </w:tcPr>
          <w:p>
            <w:pPr>
              <w:pStyle w:val="617"/>
              <w:jc w:val="center"/>
            </w:pPr>
            <w:r>
              <w:rPr>
                <w:sz w:val="24"/>
              </w:rPr>
              <w:t xml:space="preserve">40 баллов</w:t>
            </w:r>
            <w:r/>
          </w:p>
        </w:tc>
        <w:tc>
          <w:tcPr>
            <w:tcW w:w="7654" w:type="dxa"/>
            <w:textDirection w:val="lrTb"/>
            <w:noWrap w:val="false"/>
          </w:tcPr>
          <w:p>
            <w:pPr>
              <w:pStyle w:val="617"/>
            </w:pPr>
            <w:r>
              <w:rPr>
                <w:sz w:val="24"/>
              </w:rPr>
              <w:t xml:space="preserve">Проект в целом соответствует данному критерию оценки заявок, однако имеются замечания эксперта:</w:t>
            </w:r>
            <w:r/>
          </w:p>
          <w:p>
            <w:pPr>
              <w:pStyle w:val="617"/>
            </w:pPr>
            <w:r>
              <w:rPr>
                <w:sz w:val="24"/>
              </w:rPr>
              <w:t xml:space="preserve">не все предполагаемые расходы непосредственно связаны с мероприятиями проекта и достижением ожидаемых результатов;</w:t>
            </w:r>
            <w:r/>
          </w:p>
          <w:p>
            <w:pPr>
              <w:pStyle w:val="617"/>
            </w:pPr>
            <w:r>
              <w:rPr>
                <w:sz w:val="24"/>
              </w:rPr>
              <w:t xml:space="preserve">некоторые расходы завышены или занижены по сравнению со средним рыночным уровнем оплаты труда, цен на товары, работы, услуги, аренду (без соответствующего обоснования в комментариях к расходам);</w:t>
            </w:r>
            <w:r/>
          </w:p>
          <w:p>
            <w:pPr>
              <w:pStyle w:val="617"/>
            </w:pPr>
            <w:r>
              <w:rPr>
                <w:sz w:val="24"/>
              </w:rPr>
              <w:t xml:space="preserve">обоснование отдельных направлений расходов не позволяет оценить их взаимосвязь с мероприятиями проекта</w:t>
            </w:r>
            <w:r/>
          </w:p>
        </w:tc>
      </w:tr>
      <w:tr>
        <w:tblPrEx/>
        <w:trPr/>
        <w:tc>
          <w:tcPr>
            <w:tcW w:w="1417" w:type="dxa"/>
            <w:textDirection w:val="lrTb"/>
            <w:noWrap w:val="false"/>
          </w:tcPr>
          <w:p>
            <w:pPr>
              <w:pStyle w:val="617"/>
              <w:jc w:val="center"/>
            </w:pPr>
            <w:r>
              <w:rPr>
                <w:sz w:val="24"/>
              </w:rPr>
              <w:t xml:space="preserve">0 баллов</w:t>
            </w:r>
            <w:r/>
          </w:p>
        </w:tc>
        <w:tc>
          <w:tcPr>
            <w:tcW w:w="7654" w:type="dxa"/>
            <w:textDirection w:val="lrTb"/>
            <w:noWrap w:val="false"/>
          </w:tcPr>
          <w:p>
            <w:pPr>
              <w:pStyle w:val="617"/>
            </w:pPr>
            <w:r>
              <w:rPr>
                <w:sz w:val="24"/>
              </w:rPr>
              <w:t xml:space="preserve">Проект не соответствует данному критерию оценки заявок:</w:t>
            </w:r>
            <w:r/>
          </w:p>
          <w:p>
            <w:pPr>
              <w:pStyle w:val="617"/>
            </w:pPr>
            <w:r>
              <w:rPr>
                <w:sz w:val="24"/>
              </w:rPr>
              <w:t xml:space="preserve">предполагаемые затраты на реализацию проекта завышены либо занижены;</w:t>
            </w:r>
            <w:r/>
          </w:p>
          <w:p>
            <w:pPr>
              <w:pStyle w:val="617"/>
            </w:pPr>
            <w:r>
              <w:rPr>
                <w:sz w:val="24"/>
              </w:rPr>
              <w:t xml:space="preserve">бюджет проекта не соответствует содержанию заявки;</w:t>
            </w:r>
            <w:r/>
          </w:p>
          <w:p>
            <w:pPr>
              <w:pStyle w:val="617"/>
            </w:pPr>
            <w:r>
              <w:rPr>
                <w:sz w:val="24"/>
              </w:rPr>
              <w:t xml:space="preserve">имеются несоответствия между суммами в описании проекта и в его бюджете;</w:t>
            </w:r>
            <w:r/>
          </w:p>
          <w:p>
            <w:pPr>
              <w:pStyle w:val="617"/>
            </w:pPr>
            <w:r>
              <w:rPr>
                <w:sz w:val="24"/>
              </w:rPr>
              <w:t xml:space="preserve">расходы не связаны с мероприятиями проекта, его результатом;</w:t>
            </w:r>
            <w:r/>
          </w:p>
          <w:p>
            <w:pPr>
              <w:pStyle w:val="617"/>
            </w:pPr>
            <w:r>
              <w:rPr>
                <w:sz w:val="24"/>
              </w:rPr>
              <w:t xml:space="preserve">приложенные к заявке документы и(или) представленная информация не соотносятся с позициями бюджета проекта (сметы) и(или) не подтверждают обоснованность представленных в бюджете проекта (смете расходов) затрат</w:t>
            </w:r>
            <w:r/>
          </w:p>
        </w:tc>
      </w:tr>
      <w:tr>
        <w:tblPrEx/>
        <w:trPr/>
        <w:tc>
          <w:tcPr>
            <w:gridSpan w:val="2"/>
            <w:tcW w:w="9071" w:type="dxa"/>
            <w:textDirection w:val="lrTb"/>
            <w:noWrap w:val="false"/>
          </w:tcPr>
          <w:p>
            <w:pPr>
              <w:pStyle w:val="617"/>
              <w:jc w:val="center"/>
            </w:pPr>
            <w:r>
              <w:rPr>
                <w:sz w:val="24"/>
              </w:rPr>
              <w:t xml:space="preserve">3. Софинансирование проекта (внебюджетные средства)</w:t>
            </w:r>
            <w:r/>
          </w:p>
        </w:tc>
      </w:tr>
      <w:tr>
        <w:tblPrEx/>
        <w:trPr/>
        <w:tc>
          <w:tcPr>
            <w:tcW w:w="1417" w:type="dxa"/>
            <w:textDirection w:val="lrTb"/>
            <w:noWrap w:val="false"/>
          </w:tcPr>
          <w:p>
            <w:pPr>
              <w:pStyle w:val="617"/>
              <w:jc w:val="center"/>
            </w:pPr>
            <w:r>
              <w:rPr>
                <w:sz w:val="24"/>
              </w:rPr>
              <w:t xml:space="preserve">100 баллов</w:t>
            </w:r>
            <w:r/>
          </w:p>
        </w:tc>
        <w:tc>
          <w:tcPr>
            <w:tcW w:w="7654" w:type="dxa"/>
            <w:textDirection w:val="lrTb"/>
            <w:noWrap w:val="false"/>
          </w:tcPr>
          <w:p>
            <w:pPr>
              <w:pStyle w:val="617"/>
            </w:pPr>
            <w:r>
              <w:rPr>
                <w:sz w:val="24"/>
              </w:rPr>
              <w:t xml:space="preserve">Участник отбора обеспечивает привлечение дополнительных ресурсов на реализацию проекта:</w:t>
            </w:r>
            <w:r/>
          </w:p>
          <w:p>
            <w:pPr>
              <w:pStyle w:val="617"/>
            </w:pPr>
            <w:r>
              <w:rPr>
                <w:sz w:val="24"/>
              </w:rPr>
              <w:t xml:space="preserve">участник отбора располагает ресурсами на реализацию проекта и(или) подтверждает их привлечение</w:t>
            </w:r>
            <w:r/>
          </w:p>
        </w:tc>
      </w:tr>
      <w:tr>
        <w:tblPrEx/>
        <w:trPr/>
        <w:tc>
          <w:tcPr>
            <w:tcW w:w="1417" w:type="dxa"/>
            <w:textDirection w:val="lrTb"/>
            <w:noWrap w:val="false"/>
          </w:tcPr>
          <w:p>
            <w:pPr>
              <w:pStyle w:val="617"/>
              <w:jc w:val="center"/>
            </w:pPr>
            <w:r>
              <w:rPr>
                <w:sz w:val="24"/>
              </w:rPr>
              <w:t xml:space="preserve">0 баллов</w:t>
            </w:r>
            <w:r/>
          </w:p>
        </w:tc>
        <w:tc>
          <w:tcPr>
            <w:tcW w:w="7654" w:type="dxa"/>
            <w:textDirection w:val="lrTb"/>
            <w:noWrap w:val="false"/>
          </w:tcPr>
          <w:p>
            <w:pPr>
              <w:pStyle w:val="617"/>
            </w:pPr>
            <w:r>
              <w:rPr>
                <w:sz w:val="24"/>
              </w:rPr>
              <w:t xml:space="preserve">Реализация проекта предполагается только за счет гранта:</w:t>
            </w:r>
            <w:r/>
          </w:p>
          <w:p>
            <w:pPr>
              <w:pStyle w:val="617"/>
            </w:pPr>
            <w:r>
              <w:rPr>
                <w:sz w:val="24"/>
              </w:rPr>
              <w:t xml:space="preserve">документы, представленные участником отбора, не подтверждают его возможности по привлечению дополнительных ресурсов</w:t>
            </w:r>
            <w:r/>
          </w:p>
        </w:tc>
      </w:tr>
      <w:tr>
        <w:tblPrEx/>
        <w:trPr/>
        <w:tc>
          <w:tcPr>
            <w:gridSpan w:val="2"/>
            <w:tcW w:w="9071" w:type="dxa"/>
            <w:textDirection w:val="lrTb"/>
            <w:noWrap w:val="false"/>
          </w:tcPr>
          <w:p>
            <w:pPr>
              <w:pStyle w:val="617"/>
              <w:jc w:val="center"/>
            </w:pPr>
            <w:r>
              <w:rPr>
                <w:sz w:val="24"/>
              </w:rPr>
              <w:t xml:space="preserve">4. Опыт участника отбора по успешной реализации аналогичных проектов</w:t>
            </w:r>
            <w:r/>
          </w:p>
        </w:tc>
      </w:tr>
      <w:tr>
        <w:tblPrEx/>
        <w:trPr/>
        <w:tc>
          <w:tcPr>
            <w:tcW w:w="1417" w:type="dxa"/>
            <w:textDirection w:val="lrTb"/>
            <w:noWrap w:val="false"/>
          </w:tcPr>
          <w:p>
            <w:pPr>
              <w:pStyle w:val="617"/>
              <w:jc w:val="center"/>
            </w:pPr>
            <w:r>
              <w:rPr>
                <w:sz w:val="24"/>
              </w:rPr>
              <w:t xml:space="preserve">100 баллов</w:t>
            </w:r>
            <w:r/>
          </w:p>
        </w:tc>
        <w:tc>
          <w:tcPr>
            <w:tcW w:w="7654" w:type="dxa"/>
            <w:textDirection w:val="lrTb"/>
            <w:noWrap w:val="false"/>
          </w:tcPr>
          <w:p>
            <w:pPr>
              <w:pStyle w:val="617"/>
            </w:pPr>
            <w:r>
              <w:rPr>
                <w:sz w:val="24"/>
              </w:rPr>
              <w:t xml:space="preserve">У участника отбора имеется опыт проектной работы:</w:t>
            </w:r>
            <w:r/>
          </w:p>
          <w:p>
            <w:pPr>
              <w:pStyle w:val="617"/>
            </w:pPr>
            <w:r>
              <w:rPr>
                <w:sz w:val="24"/>
              </w:rPr>
              <w:t xml:space="preserve">участник отбора имеет опыт устойчивой активной деятельности по выбранному направлению на протяжении 10 лет и более в Ленинградской области;</w:t>
            </w:r>
            <w:r/>
          </w:p>
          <w:p>
            <w:pPr>
              <w:pStyle w:val="617"/>
            </w:pPr>
            <w:r>
              <w:rPr>
                <w:sz w:val="24"/>
              </w:rPr>
              <w:t xml:space="preserve">в заявке представ</w:t>
            </w:r>
            <w:r>
              <w:rPr>
                <w:sz w:val="24"/>
              </w:rPr>
              <w:t xml:space="preserve">лено описание собственного опыта участника отбора с указанием конкретных программ, проектов или мероприятий, имеются сведения о результативности данных мероприятий, опыт деятельности и ее успешность подтверждаются наградами, публикациями в сети "Интернет";</w:t>
            </w:r>
            <w:r/>
          </w:p>
          <w:p>
            <w:pPr>
              <w:pStyle w:val="617"/>
            </w:pPr>
            <w:r>
              <w:rPr>
                <w:sz w:val="24"/>
              </w:rPr>
              <w:t xml:space="preserve">по итогам реализации проектов в рамках настоящего Порядка в прошлые годы участник отбора успешно реализовывал проекты, со стороны Комитета к участнику отбора отсутствовали обоснованные замечания, касающиеся качества подготовки</w:t>
            </w:r>
            <w:r>
              <w:rPr>
                <w:sz w:val="24"/>
              </w:rPr>
              <w:t xml:space="preserve"> отчетности по итогам реализации проектов, сроков устранения замечаний по итогам проверки отчетности (к учету принимаются проекты, реализованные в году, в котором согласно заявке запланирована дата начала реализации проекта, а также в предшествующем году);</w:t>
            </w:r>
            <w:r/>
          </w:p>
          <w:p>
            <w:pPr>
              <w:pStyle w:val="617"/>
            </w:pPr>
            <w:r>
              <w:rPr>
                <w:sz w:val="24"/>
              </w:rPr>
              <w:t xml:space="preserve">участник отбора имеет опыт проведения аналогичных мероприятий на террит</w:t>
            </w:r>
            <w:r>
              <w:rPr>
                <w:sz w:val="24"/>
              </w:rPr>
              <w:t xml:space="preserve">ории 18 муниципальных образований Ленинградской области (муниципальный район, муниципальный округ, городской округ) в рамках одного проекта (к учету принимаются проекты, реализованные в течение двух лет, предшествующих дате подачи заявки участником отбора)</w:t>
            </w:r>
            <w:r/>
          </w:p>
        </w:tc>
      </w:tr>
      <w:tr>
        <w:tblPrEx/>
        <w:trPr/>
        <w:tc>
          <w:tcPr>
            <w:tcW w:w="1417" w:type="dxa"/>
            <w:textDirection w:val="lrTb"/>
            <w:noWrap w:val="false"/>
          </w:tcPr>
          <w:p>
            <w:pPr>
              <w:pStyle w:val="617"/>
              <w:jc w:val="center"/>
            </w:pPr>
            <w:r>
              <w:rPr>
                <w:sz w:val="24"/>
              </w:rPr>
              <w:t xml:space="preserve">70 баллов</w:t>
            </w:r>
            <w:r/>
          </w:p>
        </w:tc>
        <w:tc>
          <w:tcPr>
            <w:tcW w:w="7654" w:type="dxa"/>
            <w:textDirection w:val="lrTb"/>
            <w:noWrap w:val="false"/>
          </w:tcPr>
          <w:p>
            <w:pPr>
              <w:pStyle w:val="617"/>
            </w:pPr>
            <w:r>
              <w:rPr>
                <w:sz w:val="24"/>
              </w:rPr>
              <w:t xml:space="preserve">У участника отбора хороший опыт проектной работы:</w:t>
            </w:r>
            <w:r/>
          </w:p>
          <w:p>
            <w:pPr>
              <w:pStyle w:val="617"/>
            </w:pPr>
            <w:r>
              <w:rPr>
                <w:sz w:val="24"/>
              </w:rPr>
              <w:t xml:space="preserve">участник отбора имеет опыт активной деятельности на протяжении 5-9 лет в Ленинградской области;</w:t>
            </w:r>
            <w:r/>
          </w:p>
          <w:p>
            <w:pPr>
              <w:pStyle w:val="617"/>
            </w:pPr>
            <w:r>
              <w:rPr>
                <w:sz w:val="24"/>
              </w:rPr>
              <w:t xml:space="preserve">участник отбора осуществил проведение мероприятий на территори</w:t>
            </w:r>
            <w:r>
              <w:rPr>
                <w:sz w:val="24"/>
              </w:rPr>
              <w:t xml:space="preserve">и 14-17 муниципальных образований Ленинградской области (муниципальный район, муниципальный округ, городской округ) в рамках одного проекта (к учету принимаются проекты, реализованные в течение двух лет, предшествующих дате подачи заявки участником отбора)</w:t>
            </w:r>
            <w:r/>
          </w:p>
        </w:tc>
      </w:tr>
      <w:tr>
        <w:tblPrEx/>
        <w:trPr/>
        <w:tc>
          <w:tcPr>
            <w:tcW w:w="1417" w:type="dxa"/>
            <w:textDirection w:val="lrTb"/>
            <w:noWrap w:val="false"/>
          </w:tcPr>
          <w:p>
            <w:pPr>
              <w:pStyle w:val="617"/>
              <w:jc w:val="center"/>
            </w:pPr>
            <w:r>
              <w:rPr>
                <w:sz w:val="24"/>
              </w:rPr>
              <w:t xml:space="preserve">40 баллов</w:t>
            </w:r>
            <w:r/>
          </w:p>
        </w:tc>
        <w:tc>
          <w:tcPr>
            <w:tcW w:w="7654" w:type="dxa"/>
            <w:textDirection w:val="lrTb"/>
            <w:noWrap w:val="false"/>
          </w:tcPr>
          <w:p>
            <w:pPr>
              <w:pStyle w:val="617"/>
            </w:pPr>
            <w:r>
              <w:rPr>
                <w:sz w:val="24"/>
              </w:rPr>
              <w:t xml:space="preserve">У участника отбора удовлетворительный опыт проектной работы:</w:t>
            </w:r>
            <w:r/>
          </w:p>
          <w:p>
            <w:pPr>
              <w:pStyle w:val="617"/>
            </w:pPr>
            <w:r>
              <w:rPr>
                <w:sz w:val="24"/>
              </w:rPr>
              <w:t xml:space="preserve">в заявке приведено описание собственного опыта участника отбора по реализации программ, проектов, но оно не позволяет сделать однозначный вывод о системном и устойчивом характере такой работы в течение 1 года - 4 лет в Ленинградской области;</w:t>
            </w:r>
            <w:r/>
          </w:p>
          <w:p>
            <w:pPr>
              <w:pStyle w:val="617"/>
            </w:pPr>
            <w:r>
              <w:rPr>
                <w:sz w:val="24"/>
              </w:rPr>
              <w:t xml:space="preserve">участник отбора имеет опыт реализации менее масштабных проектов по выбранному направлению и(или) не имеет опыта работы с соизмеримыми (с запрашиваемой суммой гранта) объемами целевых средств;</w:t>
            </w:r>
            <w:r/>
          </w:p>
          <w:p>
            <w:pPr>
              <w:pStyle w:val="617"/>
            </w:pPr>
            <w:r>
              <w:rPr>
                <w:sz w:val="24"/>
              </w:rPr>
              <w:t xml:space="preserve">участник отбора осуществил проведение мероприятий на территори</w:t>
            </w:r>
            <w:r>
              <w:rPr>
                <w:sz w:val="24"/>
              </w:rPr>
              <w:t xml:space="preserve">и 10-13 муниципальных образований Ленинградской области (муниципальный район, муниципальный округ, городской округ) в рамках одного проекта (к учету принимаются проекты, реализованные в течение двух лет, предшествующих дате подачи заявки участником отбора)</w:t>
            </w:r>
            <w:r/>
          </w:p>
        </w:tc>
      </w:tr>
      <w:tr>
        <w:tblPrEx/>
        <w:trPr/>
        <w:tc>
          <w:tcPr>
            <w:tcW w:w="1417" w:type="dxa"/>
            <w:textDirection w:val="lrTb"/>
            <w:noWrap w:val="false"/>
          </w:tcPr>
          <w:p>
            <w:pPr>
              <w:pStyle w:val="617"/>
              <w:jc w:val="center"/>
            </w:pPr>
            <w:r>
              <w:rPr>
                <w:sz w:val="24"/>
              </w:rPr>
              <w:t xml:space="preserve">0 баллов</w:t>
            </w:r>
            <w:r/>
          </w:p>
        </w:tc>
        <w:tc>
          <w:tcPr>
            <w:tcW w:w="7654" w:type="dxa"/>
            <w:textDirection w:val="lrTb"/>
            <w:noWrap w:val="false"/>
          </w:tcPr>
          <w:p>
            <w:pPr>
              <w:pStyle w:val="617"/>
            </w:pPr>
            <w:r>
              <w:rPr>
                <w:sz w:val="24"/>
              </w:rPr>
              <w:t xml:space="preserve">У участника отбора отсутствует или не подтвержден опыт работы по выбранному направлению или имеются противоречия в представленной информации в указанной части:</w:t>
            </w:r>
            <w:r/>
          </w:p>
          <w:p>
            <w:pPr>
              <w:pStyle w:val="617"/>
            </w:pPr>
            <w:r>
              <w:rPr>
                <w:sz w:val="24"/>
              </w:rPr>
              <w:t xml:space="preserve">участник отбора не имеет опыта деятельности по направлению реализации проекта либо подтвержденной деятельности за последний год;</w:t>
            </w:r>
            <w:r/>
          </w:p>
          <w:p>
            <w:pPr>
              <w:pStyle w:val="617"/>
            </w:pPr>
            <w:r>
              <w:rPr>
                <w:sz w:val="24"/>
              </w:rPr>
              <w:t xml:space="preserve">опыт проектной работы участника отбора в заявке не описан либо описан общими фразами;</w:t>
            </w:r>
            <w:r/>
          </w:p>
          <w:p>
            <w:pPr>
              <w:pStyle w:val="617"/>
            </w:pPr>
            <w:r>
              <w:rPr>
                <w:sz w:val="24"/>
              </w:rPr>
              <w:t xml:space="preserve">имеются противоречия между описанным в заявке опытом участника отбора и информацией из открытых источников (например, заявленные как реализованные мероприятия не отражены в общедоступных отчетах участника отбора);</w:t>
            </w:r>
            <w:r/>
          </w:p>
          <w:p>
            <w:pPr>
              <w:pStyle w:val="617"/>
            </w:pPr>
            <w:r>
              <w:rPr>
                <w:sz w:val="24"/>
              </w:rPr>
              <w:t xml:space="preserve">участник отбора осуществил проведение мероприятий на территории м</w:t>
            </w:r>
            <w:r>
              <w:rPr>
                <w:sz w:val="24"/>
              </w:rPr>
              <w:t xml:space="preserve">енее 10 муниципальных образований Ленинградской области (муниципальный район, муниципальный округ, городской округ) в рамках одного проекта (к учету принимаются проекты, реализованные в течение двух лет, предшествующих дате подачи заявки участником отбора)</w:t>
            </w:r>
            <w:r/>
          </w:p>
        </w:tc>
      </w:tr>
      <w:tr>
        <w:tblPrEx/>
        <w:trPr/>
        <w:tc>
          <w:tcPr>
            <w:gridSpan w:val="2"/>
            <w:tcW w:w="9071" w:type="dxa"/>
            <w:textDirection w:val="lrTb"/>
            <w:noWrap w:val="false"/>
          </w:tcPr>
          <w:p>
            <w:pPr>
              <w:pStyle w:val="617"/>
              <w:jc w:val="center"/>
            </w:pPr>
            <w:r>
              <w:rPr>
                <w:sz w:val="24"/>
              </w:rPr>
              <w:t xml:space="preserve">5. Охват территории, на которой представлена организация, и(или) количество благополучателей</w:t>
            </w:r>
            <w:r/>
          </w:p>
        </w:tc>
      </w:tr>
      <w:tr>
        <w:tblPrEx>
          <w:tblBorders>
            <w:insideH w:val="none" w:color="000000" w:sz="4" w:space="0"/>
          </w:tblBorders>
        </w:tblPrEx>
        <w:trPr/>
        <w:tc>
          <w:tcPr>
            <w:tcBorders>
              <w:bottom w:val="none" w:color="000000" w:sz="4" w:space="0"/>
            </w:tcBorders>
            <w:tcW w:w="1417" w:type="dxa"/>
            <w:textDirection w:val="lrTb"/>
            <w:noWrap w:val="false"/>
          </w:tcPr>
          <w:p>
            <w:pPr>
              <w:pStyle w:val="617"/>
              <w:jc w:val="center"/>
            </w:pPr>
            <w:r>
              <w:rPr>
                <w:sz w:val="24"/>
              </w:rPr>
              <w:t xml:space="preserve">100 баллов</w:t>
            </w:r>
            <w:r/>
          </w:p>
        </w:tc>
        <w:tc>
          <w:tcPr>
            <w:tcBorders>
              <w:bottom w:val="none" w:color="000000" w:sz="4" w:space="0"/>
            </w:tcBorders>
            <w:tcW w:w="7654" w:type="dxa"/>
            <w:textDirection w:val="lrTb"/>
            <w:noWrap w:val="false"/>
          </w:tcPr>
          <w:p>
            <w:pPr>
              <w:pStyle w:val="617"/>
            </w:pPr>
            <w:r>
              <w:rPr>
                <w:sz w:val="24"/>
              </w:rPr>
              <w:t xml:space="preserve">Проект по данному критерию оценки заявок проработан отлично:</w:t>
            </w:r>
            <w:r/>
          </w:p>
          <w:p>
            <w:pPr>
              <w:pStyle w:val="617"/>
            </w:pPr>
            <w:r>
              <w:rPr>
                <w:sz w:val="24"/>
              </w:rPr>
              <w:t xml:space="preserve">участник отбора представле</w:t>
            </w:r>
            <w:r>
              <w:rPr>
                <w:sz w:val="24"/>
              </w:rPr>
              <w:t xml:space="preserve">н (имеет филиалы и(или) представительства и(или) членов, и(или) иные организации, входящие в структуру в соответствии с уставом) не менее чем в 18 муниципальных образованиях Ленинградской области (муниципальный район, муниципальный округ, городской округ);</w:t>
            </w:r>
            <w:r/>
          </w:p>
          <w:p>
            <w:pPr>
              <w:pStyle w:val="617"/>
            </w:pPr>
            <w:r>
              <w:rPr>
                <w:sz w:val="24"/>
              </w:rPr>
              <w:t xml:space="preserve">планируемое количество благополучателей в проекте не менее 10000 человек</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617"/>
              <w:jc w:val="both"/>
            </w:pPr>
            <w:r>
              <w:rPr>
                <w:sz w:val="24"/>
              </w:rPr>
              <w:t xml:space="preserve">(в ред. </w:t>
            </w:r>
            <w:hyperlink r:id="rId86"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tc>
      </w:tr>
      <w:tr>
        <w:tblPrEx>
          <w:tblBorders>
            <w:insideH w:val="none" w:color="000000" w:sz="4" w:space="0"/>
          </w:tblBorders>
        </w:tblPrEx>
        <w:trPr/>
        <w:tc>
          <w:tcPr>
            <w:tcBorders>
              <w:bottom w:val="none" w:color="000000" w:sz="4" w:space="0"/>
            </w:tcBorders>
            <w:tcW w:w="1417" w:type="dxa"/>
            <w:textDirection w:val="lrTb"/>
            <w:noWrap w:val="false"/>
          </w:tcPr>
          <w:p>
            <w:pPr>
              <w:pStyle w:val="617"/>
              <w:jc w:val="center"/>
            </w:pPr>
            <w:r>
              <w:rPr>
                <w:sz w:val="24"/>
              </w:rPr>
              <w:t xml:space="preserve">70 баллов</w:t>
            </w:r>
            <w:r/>
          </w:p>
        </w:tc>
        <w:tc>
          <w:tcPr>
            <w:tcBorders>
              <w:bottom w:val="none" w:color="000000" w:sz="4" w:space="0"/>
            </w:tcBorders>
            <w:tcW w:w="7654" w:type="dxa"/>
            <w:textDirection w:val="lrTb"/>
            <w:noWrap w:val="false"/>
          </w:tcPr>
          <w:p>
            <w:pPr>
              <w:pStyle w:val="617"/>
            </w:pPr>
            <w:r>
              <w:rPr>
                <w:sz w:val="24"/>
              </w:rPr>
              <w:t xml:space="preserve">Проект по данному критерию оценки заявок проработан хорошо:</w:t>
            </w:r>
            <w:r/>
          </w:p>
          <w:p>
            <w:pPr>
              <w:pStyle w:val="617"/>
            </w:pPr>
            <w:r>
              <w:rPr>
                <w:sz w:val="24"/>
              </w:rPr>
              <w:t xml:space="preserve">участник отбора представлен (</w:t>
            </w:r>
            <w:r>
              <w:rPr>
                <w:sz w:val="24"/>
              </w:rPr>
              <w:t xml:space="preserve">имеет филиалы и(или) представительства и(или) членов, и(или) иные организации, входящие в структуру в соответствии с уставом) не менее чем в 12-17 муниципальных образованиях Ленинградской области (муниципальный район, муниципальный округ, городской округ);</w:t>
            </w:r>
            <w:r/>
          </w:p>
          <w:p>
            <w:pPr>
              <w:pStyle w:val="617"/>
            </w:pPr>
            <w:r>
              <w:rPr>
                <w:sz w:val="24"/>
              </w:rPr>
              <w:t xml:space="preserve">планируемое количество благополучателей в проекте не менее 7000-9000 человек</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617"/>
              <w:jc w:val="both"/>
            </w:pPr>
            <w:r>
              <w:rPr>
                <w:sz w:val="24"/>
              </w:rPr>
              <w:t xml:space="preserve">(в ред. </w:t>
            </w:r>
            <w:hyperlink r:id="rId87"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tc>
      </w:tr>
      <w:tr>
        <w:tblPrEx>
          <w:tblBorders>
            <w:insideH w:val="none" w:color="000000" w:sz="4" w:space="0"/>
          </w:tblBorders>
        </w:tblPrEx>
        <w:trPr/>
        <w:tc>
          <w:tcPr>
            <w:tcBorders>
              <w:bottom w:val="none" w:color="000000" w:sz="4" w:space="0"/>
            </w:tcBorders>
            <w:tcW w:w="1417" w:type="dxa"/>
            <w:textDirection w:val="lrTb"/>
            <w:noWrap w:val="false"/>
          </w:tcPr>
          <w:p>
            <w:pPr>
              <w:pStyle w:val="617"/>
              <w:jc w:val="center"/>
            </w:pPr>
            <w:r>
              <w:rPr>
                <w:sz w:val="24"/>
              </w:rPr>
              <w:t xml:space="preserve">40 баллов</w:t>
            </w:r>
            <w:r/>
          </w:p>
        </w:tc>
        <w:tc>
          <w:tcPr>
            <w:tcBorders>
              <w:bottom w:val="none" w:color="000000" w:sz="4" w:space="0"/>
            </w:tcBorders>
            <w:tcW w:w="7654" w:type="dxa"/>
            <w:textDirection w:val="lrTb"/>
            <w:noWrap w:val="false"/>
          </w:tcPr>
          <w:p>
            <w:pPr>
              <w:pStyle w:val="617"/>
            </w:pPr>
            <w:r>
              <w:rPr>
                <w:sz w:val="24"/>
              </w:rPr>
              <w:t xml:space="preserve">Проект по данному критерию оценки заявок проработан удовлетворительно:</w:t>
            </w:r>
            <w:r/>
          </w:p>
          <w:p>
            <w:pPr>
              <w:pStyle w:val="617"/>
            </w:pPr>
            <w:r>
              <w:rPr>
                <w:sz w:val="24"/>
              </w:rPr>
              <w:t xml:space="preserve">участник отбора представлен </w:t>
            </w:r>
            <w:r>
              <w:rPr>
                <w:sz w:val="24"/>
              </w:rPr>
              <w:t xml:space="preserve">(имеет филиалы и(или) представительства и(или) членов, и(или) иные организации, входящие в структуру в соответствии с уставом) не менее чем в 9-12 муниципальных образованиях Ленинградской области (муниципальный район, муниципальный округ, городской округ);</w:t>
            </w:r>
            <w:r/>
          </w:p>
          <w:p>
            <w:pPr>
              <w:pStyle w:val="617"/>
            </w:pPr>
            <w:r>
              <w:rPr>
                <w:sz w:val="24"/>
              </w:rPr>
              <w:t xml:space="preserve">планируемое количество благополучателей в проекте не менее 4000-6000 человек</w:t>
            </w:r>
            <w:r/>
          </w:p>
        </w:tc>
      </w:tr>
      <w:tr>
        <w:tblPrEx>
          <w:tblBorders>
            <w:insideH w:val="none" w:color="000000" w:sz="4" w:space="0"/>
          </w:tblBorders>
        </w:tblPrEx>
        <w:trPr/>
        <w:tc>
          <w:tcPr>
            <w:gridSpan w:val="2"/>
            <w:tcBorders>
              <w:top w:val="none" w:color="000000" w:sz="4" w:space="0"/>
            </w:tcBorders>
            <w:tcW w:w="9071" w:type="dxa"/>
            <w:textDirection w:val="lrTb"/>
            <w:noWrap w:val="false"/>
          </w:tcPr>
          <w:p>
            <w:pPr>
              <w:pStyle w:val="617"/>
              <w:jc w:val="both"/>
            </w:pPr>
            <w:r>
              <w:rPr>
                <w:sz w:val="24"/>
              </w:rPr>
              <w:t xml:space="preserve">(в ред. </w:t>
            </w:r>
            <w:hyperlink r:id="rId88" w:tooltip="Постановление Правительства Ленинградской области от 26.08.2026 N 682 &quot;О внесении изменений в постановление Правительства Ленинградской области от 29 июня 2020 года N 451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 {КонсультантПлюс}" w:history="1">
              <w:r>
                <w:rPr>
                  <w:color w:val="0000ff"/>
                  <w:sz w:val="24"/>
                </w:rPr>
                <w:t xml:space="preserve">Постановления</w:t>
              </w:r>
            </w:hyperlink>
            <w:r>
              <w:rPr>
                <w:sz w:val="24"/>
              </w:rPr>
              <w:t xml:space="preserve"> Правительства Ленинградской области от 26.08.2026 N 682)</w:t>
            </w:r>
            <w:r/>
          </w:p>
        </w:tc>
      </w:tr>
      <w:tr>
        <w:tblPrEx/>
        <w:trPr/>
        <w:tc>
          <w:tcPr>
            <w:tcW w:w="1417" w:type="dxa"/>
            <w:textDirection w:val="lrTb"/>
            <w:noWrap w:val="false"/>
          </w:tcPr>
          <w:p>
            <w:pPr>
              <w:pStyle w:val="617"/>
              <w:jc w:val="center"/>
            </w:pPr>
            <w:r>
              <w:rPr>
                <w:sz w:val="24"/>
              </w:rPr>
              <w:t xml:space="preserve">0 баллов</w:t>
            </w:r>
            <w:r/>
          </w:p>
        </w:tc>
        <w:tc>
          <w:tcPr>
            <w:tcW w:w="7654" w:type="dxa"/>
            <w:textDirection w:val="lrTb"/>
            <w:noWrap w:val="false"/>
          </w:tcPr>
          <w:p>
            <w:pPr>
              <w:pStyle w:val="617"/>
            </w:pPr>
            <w:r>
              <w:rPr>
                <w:sz w:val="24"/>
              </w:rPr>
              <w:t xml:space="preserve">Проект по данному критерию оценки заявок проработан плохо:</w:t>
            </w:r>
            <w:r/>
          </w:p>
          <w:p>
            <w:pPr>
              <w:pStyle w:val="617"/>
            </w:pPr>
            <w:r>
              <w:rPr>
                <w:sz w:val="24"/>
              </w:rPr>
              <w:t xml:space="preserve">участник отбора представлен (имеет филиалы, представительства, членов и т.п.) менее чем в 6-9 муниципальных образованиях Ленинградской области (муниципальный район, муниципальный округ, городской округ);</w:t>
            </w:r>
            <w:r/>
          </w:p>
          <w:p>
            <w:pPr>
              <w:pStyle w:val="617"/>
            </w:pPr>
            <w:r>
              <w:rPr>
                <w:sz w:val="24"/>
              </w:rPr>
              <w:t xml:space="preserve">планируемое количество благополучателей в проекте менее 4000 человек</w:t>
            </w:r>
            <w:r/>
          </w:p>
        </w:tc>
      </w:tr>
      <w:tr>
        <w:tblPrEx/>
        <w:trPr/>
        <w:tc>
          <w:tcPr>
            <w:gridSpan w:val="2"/>
            <w:tcW w:w="9071" w:type="dxa"/>
            <w:textDirection w:val="lrTb"/>
            <w:noWrap w:val="false"/>
          </w:tcPr>
          <w:p>
            <w:pPr>
              <w:pStyle w:val="617"/>
              <w:jc w:val="center"/>
            </w:pPr>
            <w:r>
              <w:rPr>
                <w:sz w:val="24"/>
              </w:rPr>
              <w:t xml:space="preserve">6. Информационная открытость участника отбора</w:t>
            </w:r>
            <w:r/>
          </w:p>
        </w:tc>
      </w:tr>
      <w:tr>
        <w:tblPrEx/>
        <w:trPr/>
        <w:tc>
          <w:tcPr>
            <w:tcW w:w="1417" w:type="dxa"/>
            <w:textDirection w:val="lrTb"/>
            <w:noWrap w:val="false"/>
          </w:tcPr>
          <w:p>
            <w:pPr>
              <w:pStyle w:val="617"/>
              <w:jc w:val="center"/>
            </w:pPr>
            <w:r>
              <w:rPr>
                <w:sz w:val="24"/>
              </w:rPr>
              <w:t xml:space="preserve">100 баллов</w:t>
            </w:r>
            <w:r/>
          </w:p>
        </w:tc>
        <w:tc>
          <w:tcPr>
            <w:tcW w:w="7654" w:type="dxa"/>
            <w:textDirection w:val="lrTb"/>
            <w:noWrap w:val="false"/>
          </w:tcPr>
          <w:p>
            <w:pPr>
              <w:pStyle w:val="617"/>
            </w:pPr>
            <w:r>
              <w:rPr>
                <w:sz w:val="24"/>
              </w:rPr>
              <w:t xml:space="preserve">Данный критерий оценки заявок отлично выражен в заявке:</w:t>
            </w:r>
            <w:r/>
          </w:p>
          <w:p>
            <w:pPr>
              <w:pStyle w:val="617"/>
            </w:pPr>
            <w:r>
              <w:rPr>
                <w:sz w:val="24"/>
              </w:rPr>
              <w:t xml:space="preserve">информацию о деятельности участника отбора легко найти в сети "Интернет" с помощью поисковых запросов;</w:t>
            </w:r>
            <w:r/>
          </w:p>
          <w:p>
            <w:pPr>
              <w:pStyle w:val="617"/>
            </w:pPr>
            <w:r>
              <w:rPr>
                <w:sz w:val="24"/>
              </w:rPr>
              <w:t xml:space="preserve">деятельность участника отбора систематически (не реже 1 раза в месяц в течение года, предшествующего году проведения отбора) освещается в сети "Интернет";</w:t>
            </w:r>
            <w:r/>
          </w:p>
          <w:p>
            <w:pPr>
              <w:pStyle w:val="617"/>
            </w:pPr>
            <w:r>
              <w:rPr>
                <w:sz w:val="24"/>
              </w:rPr>
              <w:t xml:space="preserve">участник имеет действующий, постоянно обновляемый сайт, на котором размещена информация о реализованных проектах и мероприятиях, составе органов управления;</w:t>
            </w:r>
            <w:r/>
          </w:p>
          <w:p>
            <w:pPr>
              <w:pStyle w:val="617"/>
            </w:pPr>
            <w:r>
              <w:rPr>
                <w:sz w:val="24"/>
              </w:rPr>
              <w:t xml:space="preserve">участник отбора имеет страницы (группы) в социальных сетях, на которых ежемесячно обновляется информация;</w:t>
            </w:r>
            <w:r/>
          </w:p>
          <w:p>
            <w:pPr>
              <w:pStyle w:val="617"/>
            </w:pPr>
            <w:r>
              <w:rPr>
                <w:sz w:val="24"/>
              </w:rPr>
              <w:t xml:space="preserve">участник отбора публикует годовую отчетность о своей деятельности</w:t>
            </w:r>
            <w:r/>
          </w:p>
        </w:tc>
      </w:tr>
      <w:tr>
        <w:tblPrEx/>
        <w:trPr/>
        <w:tc>
          <w:tcPr>
            <w:tcW w:w="1417" w:type="dxa"/>
            <w:textDirection w:val="lrTb"/>
            <w:noWrap w:val="false"/>
          </w:tcPr>
          <w:p>
            <w:pPr>
              <w:pStyle w:val="617"/>
              <w:jc w:val="center"/>
            </w:pPr>
            <w:r>
              <w:rPr>
                <w:sz w:val="24"/>
              </w:rPr>
              <w:t xml:space="preserve">70 баллов</w:t>
            </w:r>
            <w:r/>
          </w:p>
        </w:tc>
        <w:tc>
          <w:tcPr>
            <w:tcW w:w="7654" w:type="dxa"/>
            <w:textDirection w:val="lrTb"/>
            <w:noWrap w:val="false"/>
          </w:tcPr>
          <w:p>
            <w:pPr>
              <w:pStyle w:val="617"/>
            </w:pPr>
            <w:r>
              <w:rPr>
                <w:sz w:val="24"/>
              </w:rPr>
              <w:t xml:space="preserve">Данный критерий оценки заявок хорошо выражен в заявке:</w:t>
            </w:r>
            <w:r/>
          </w:p>
          <w:p>
            <w:pPr>
              <w:pStyle w:val="617"/>
            </w:pPr>
            <w:r>
              <w:rPr>
                <w:sz w:val="24"/>
              </w:rPr>
              <w:t xml:space="preserve">участник отбора имеет сайт и(или) социальные сети с информацией, однако без подробных сведений о работе участника отбора, привлекаемых им ресурсах, составе органов управления, реализованных программах, проектах;</w:t>
            </w:r>
            <w:r/>
          </w:p>
          <w:p>
            <w:pPr>
              <w:pStyle w:val="617"/>
            </w:pPr>
            <w:r>
              <w:rPr>
                <w:sz w:val="24"/>
              </w:rPr>
              <w:t xml:space="preserve">информацию о деятельности легко найти в сети "Интернет" с помощью поисковых запросов;</w:t>
            </w:r>
            <w:r/>
          </w:p>
          <w:p>
            <w:pPr>
              <w:pStyle w:val="617"/>
            </w:pPr>
            <w:r>
              <w:rPr>
                <w:sz w:val="24"/>
              </w:rPr>
              <w:t xml:space="preserve">деятельность участника отбора периодически (не реже 1-3 раз за 3 месяца в течение года, предшествующего году проведения отбора) освещается в сети "Интернет";</w:t>
            </w:r>
            <w:r/>
          </w:p>
          <w:p>
            <w:pPr>
              <w:pStyle w:val="617"/>
            </w:pPr>
            <w:r>
              <w:rPr>
                <w:sz w:val="24"/>
              </w:rPr>
              <w:t xml:space="preserve">отчеты о деятельности участника отбора имеются в открытом доступе</w:t>
            </w:r>
            <w:r/>
          </w:p>
        </w:tc>
      </w:tr>
      <w:tr>
        <w:tblPrEx/>
        <w:trPr/>
        <w:tc>
          <w:tcPr>
            <w:tcW w:w="1417" w:type="dxa"/>
            <w:textDirection w:val="lrTb"/>
            <w:noWrap w:val="false"/>
          </w:tcPr>
          <w:p>
            <w:pPr>
              <w:pStyle w:val="617"/>
              <w:jc w:val="center"/>
            </w:pPr>
            <w:r>
              <w:rPr>
                <w:sz w:val="24"/>
              </w:rPr>
              <w:t xml:space="preserve">40 баллов</w:t>
            </w:r>
            <w:r/>
          </w:p>
        </w:tc>
        <w:tc>
          <w:tcPr>
            <w:tcW w:w="7654" w:type="dxa"/>
            <w:textDirection w:val="lrTb"/>
            <w:noWrap w:val="false"/>
          </w:tcPr>
          <w:p>
            <w:pPr>
              <w:pStyle w:val="617"/>
            </w:pPr>
            <w:r>
              <w:rPr>
                <w:sz w:val="24"/>
              </w:rPr>
              <w:t xml:space="preserve">Данный критерий оценки заявок удовлетворительно выражен в заявке:</w:t>
            </w:r>
            <w:r/>
          </w:p>
          <w:p>
            <w:pPr>
              <w:pStyle w:val="617"/>
            </w:pPr>
            <w:r>
              <w:rPr>
                <w:sz w:val="24"/>
              </w:rPr>
              <w:t xml:space="preserve">деятельность участника отбора мало освещается (реже 1 раза в 3 месяца в течение года, предшествующего году проведения отбора) в сети "Интернет";</w:t>
            </w:r>
            <w:r/>
          </w:p>
          <w:p>
            <w:pPr>
              <w:pStyle w:val="617"/>
            </w:pPr>
            <w:r>
              <w:rPr>
                <w:sz w:val="24"/>
              </w:rPr>
              <w:t xml:space="preserve">у участника отбора есть сайт и(или) страница (группа) в социальной сети, которые не содержат исчерпывающих сведений о реализованных проектах и мероприятиях, составе органов управления;</w:t>
            </w:r>
            <w:r/>
          </w:p>
          <w:p>
            <w:pPr>
              <w:pStyle w:val="617"/>
            </w:pPr>
            <w:r>
              <w:rPr>
                <w:sz w:val="24"/>
              </w:rPr>
              <w:t xml:space="preserve">отчеты о деятельности участника отбора отсутствуют в открытом доступе</w:t>
            </w:r>
            <w:r/>
          </w:p>
        </w:tc>
      </w:tr>
      <w:tr>
        <w:tblPrEx/>
        <w:trPr/>
        <w:tc>
          <w:tcPr>
            <w:tcW w:w="1417" w:type="dxa"/>
            <w:textDirection w:val="lrTb"/>
            <w:noWrap w:val="false"/>
          </w:tcPr>
          <w:p>
            <w:pPr>
              <w:pStyle w:val="617"/>
              <w:jc w:val="center"/>
            </w:pPr>
            <w:r>
              <w:rPr>
                <w:sz w:val="24"/>
              </w:rPr>
              <w:t xml:space="preserve">0 баллов</w:t>
            </w:r>
            <w:r/>
          </w:p>
        </w:tc>
        <w:tc>
          <w:tcPr>
            <w:tcW w:w="7654" w:type="dxa"/>
            <w:textDirection w:val="lrTb"/>
            <w:noWrap w:val="false"/>
          </w:tcPr>
          <w:p>
            <w:pPr>
              <w:pStyle w:val="617"/>
            </w:pPr>
            <w:r>
              <w:rPr>
                <w:sz w:val="24"/>
              </w:rPr>
              <w:t xml:space="preserve">Данный критерий оценки заявок плохо выражен в заявке:</w:t>
            </w:r>
            <w:r/>
          </w:p>
          <w:p>
            <w:pPr>
              <w:pStyle w:val="617"/>
            </w:pPr>
            <w:r>
              <w:rPr>
                <w:sz w:val="24"/>
              </w:rPr>
              <w:t xml:space="preserve">информация о деятельности организации отсутствует в сети "Интернет"</w:t>
            </w:r>
            <w:r/>
          </w:p>
        </w:tc>
      </w:tr>
    </w:tbl>
    <w:p>
      <w:pPr>
        <w:pStyle w:val="617"/>
      </w:pPr>
      <w:r>
        <w:rPr>
          <w:sz w:val="24"/>
        </w:rPr>
      </w:r>
      <w:r/>
    </w:p>
    <w:p>
      <w:pPr>
        <w:pStyle w:val="617"/>
      </w:pPr>
      <w:r>
        <w:rPr>
          <w:sz w:val="24"/>
        </w:rPr>
      </w:r>
      <w:r/>
    </w:p>
    <w:p>
      <w:pPr>
        <w:pStyle w:val="617"/>
      </w:pPr>
      <w:r/>
      <w:hyperlink r:id="rId89" w:tooltip="Постановление Правительства Ленинградской области от 29.06.2020 N 451 (ред. от 26.08.2026) &quot;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quot;серебряных&quot; волонтеров, инвалидов, в рамках государственной программы Ленинградской области &quot;Устойчивое общественное развитие в Ленинградской области&quot; {КонсультантПлюс}" w:history="1">
        <w:r>
          <w:rPr>
            <w:i/>
            <w:color w:val="0000ff"/>
            <w:sz w:val="24"/>
          </w:rPr>
          <w:br/>
          <w:t xml:space="preserve">Постановление Правительства Ленинградской области от 29.06.2020 N 451 (ред. от 26.08.2026) "Об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w:t>
        </w:r>
        <w:r>
          <w:rPr>
            <w:i/>
            <w:color w:val="0000ff"/>
            <w:sz w:val="24"/>
          </w:rPr>
          <w:t xml:space="preserve"> области, осуществляющим деятельность в сфере социальной поддержки и защиты ветеранов, "серебряных" волонтеров, инвалидов, в рамках государственной программы Ленинградской области "Устойчивое общественное развитие в Ленинградской области" {КонсультантПлюс}</w:t>
        </w:r>
      </w:hyperlink>
      <w:r>
        <w:rPr>
          <w:sz w:val="24"/>
        </w:rPr>
        <w:br/>
      </w:r>
      <w:r/>
    </w:p>
    <w:sectPr>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Liberation Sans">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Normal"/>
    <w:qFormat/>
  </w:style>
  <w:style w:type="paragraph" w:styleId="14">
    <w:name w:val="Heading 1"/>
    <w:basedOn w:val="11"/>
    <w:next w:val="11"/>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11"/>
    <w:next w:val="11"/>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11"/>
    <w:next w:val="11"/>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11"/>
    <w:next w:val="11"/>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11"/>
    <w:next w:val="11"/>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11"/>
    <w:next w:val="11"/>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11"/>
    <w:next w:val="11"/>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11"/>
    <w:next w:val="11"/>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11"/>
    <w:next w:val="11"/>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2">
    <w:name w:val="List Paragraph"/>
    <w:basedOn w:val="11"/>
    <w:uiPriority w:val="34"/>
    <w:qFormat/>
    <w:pPr>
      <w:contextualSpacing/>
      <w:ind w:left="720"/>
    </w:pPr>
  </w:style>
  <w:style w:type="paragraph" w:styleId="34">
    <w:name w:val="No Spacing"/>
    <w:uiPriority w:val="1"/>
    <w:qFormat/>
    <w:pPr>
      <w:spacing w:before="0" w:after="0" w:line="240" w:lineRule="auto"/>
    </w:pPr>
  </w:style>
  <w:style w:type="paragraph" w:styleId="35">
    <w:name w:val="Title"/>
    <w:basedOn w:val="11"/>
    <w:next w:val="11"/>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11"/>
    <w:next w:val="11"/>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11"/>
    <w:next w:val="11"/>
    <w:link w:val="40"/>
    <w:uiPriority w:val="29"/>
    <w:qFormat/>
    <w:pPr>
      <w:ind w:left="720" w:right="720"/>
    </w:pPr>
    <w:rPr>
      <w:i/>
    </w:rPr>
  </w:style>
  <w:style w:type="character" w:styleId="40">
    <w:name w:val="Quote Char"/>
    <w:link w:val="39"/>
    <w:uiPriority w:val="29"/>
    <w:rPr>
      <w:i/>
    </w:rPr>
  </w:style>
  <w:style w:type="paragraph" w:styleId="41">
    <w:name w:val="Intense Quote"/>
    <w:basedOn w:val="11"/>
    <w:next w:val="11"/>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11"/>
    <w:link w:val="44"/>
    <w:uiPriority w:val="99"/>
    <w:unhideWhenUsed/>
    <w:pPr>
      <w:spacing w:after="0" w:line="240" w:lineRule="auto"/>
      <w:tabs>
        <w:tab w:val="center" w:pos="7143" w:leader="none"/>
        <w:tab w:val="right" w:pos="14287" w:leader="none"/>
      </w:tabs>
    </w:pPr>
  </w:style>
  <w:style w:type="character" w:styleId="44">
    <w:name w:val="Header Char"/>
    <w:basedOn w:val="12"/>
    <w:link w:val="43"/>
    <w:uiPriority w:val="99"/>
  </w:style>
  <w:style w:type="paragraph" w:styleId="45">
    <w:name w:val="Footer"/>
    <w:basedOn w:val="11"/>
    <w:link w:val="46"/>
    <w:uiPriority w:val="99"/>
    <w:unhideWhenUsed/>
    <w:pPr>
      <w:spacing w:after="0" w:line="240" w:lineRule="auto"/>
      <w:tabs>
        <w:tab w:val="center" w:pos="7143" w:leader="none"/>
        <w:tab w:val="right" w:pos="14287" w:leader="none"/>
      </w:tabs>
    </w:pPr>
  </w:style>
  <w:style w:type="character" w:styleId="46">
    <w:name w:val="Footer Char"/>
    <w:basedOn w:val="12"/>
    <w:link w:val="45"/>
    <w:uiPriority w:val="99"/>
  </w:style>
  <w:style w:type="paragraph" w:styleId="47">
    <w:name w:val="Caption"/>
    <w:basedOn w:val="11"/>
    <w:next w:val="11"/>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11"/>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11"/>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11"/>
    <w:next w:val="11"/>
    <w:uiPriority w:val="39"/>
    <w:unhideWhenUsed/>
    <w:pPr>
      <w:ind w:left="0" w:right="0" w:firstLine="0"/>
      <w:spacing w:after="57"/>
    </w:pPr>
  </w:style>
  <w:style w:type="paragraph" w:styleId="183">
    <w:name w:val="toc 2"/>
    <w:basedOn w:val="11"/>
    <w:next w:val="11"/>
    <w:uiPriority w:val="39"/>
    <w:unhideWhenUsed/>
    <w:pPr>
      <w:ind w:left="283" w:right="0" w:firstLine="0"/>
      <w:spacing w:after="57"/>
    </w:pPr>
  </w:style>
  <w:style w:type="paragraph" w:styleId="184">
    <w:name w:val="toc 3"/>
    <w:basedOn w:val="11"/>
    <w:next w:val="11"/>
    <w:uiPriority w:val="39"/>
    <w:unhideWhenUsed/>
    <w:pPr>
      <w:ind w:left="567" w:right="0" w:firstLine="0"/>
      <w:spacing w:after="57"/>
    </w:pPr>
  </w:style>
  <w:style w:type="paragraph" w:styleId="185">
    <w:name w:val="toc 4"/>
    <w:basedOn w:val="11"/>
    <w:next w:val="11"/>
    <w:uiPriority w:val="39"/>
    <w:unhideWhenUsed/>
    <w:pPr>
      <w:ind w:left="850" w:right="0" w:firstLine="0"/>
      <w:spacing w:after="57"/>
    </w:pPr>
  </w:style>
  <w:style w:type="paragraph" w:styleId="186">
    <w:name w:val="toc 5"/>
    <w:basedOn w:val="11"/>
    <w:next w:val="11"/>
    <w:uiPriority w:val="39"/>
    <w:unhideWhenUsed/>
    <w:pPr>
      <w:ind w:left="1134" w:right="0" w:firstLine="0"/>
      <w:spacing w:after="57"/>
    </w:pPr>
  </w:style>
  <w:style w:type="paragraph" w:styleId="187">
    <w:name w:val="toc 6"/>
    <w:basedOn w:val="11"/>
    <w:next w:val="11"/>
    <w:uiPriority w:val="39"/>
    <w:unhideWhenUsed/>
    <w:pPr>
      <w:ind w:left="1417" w:right="0" w:firstLine="0"/>
      <w:spacing w:after="57"/>
    </w:pPr>
  </w:style>
  <w:style w:type="paragraph" w:styleId="188">
    <w:name w:val="toc 7"/>
    <w:basedOn w:val="11"/>
    <w:next w:val="11"/>
    <w:uiPriority w:val="39"/>
    <w:unhideWhenUsed/>
    <w:pPr>
      <w:ind w:left="1701" w:right="0" w:firstLine="0"/>
      <w:spacing w:after="57"/>
    </w:pPr>
  </w:style>
  <w:style w:type="paragraph" w:styleId="189">
    <w:name w:val="toc 8"/>
    <w:basedOn w:val="11"/>
    <w:next w:val="11"/>
    <w:uiPriority w:val="39"/>
    <w:unhideWhenUsed/>
    <w:pPr>
      <w:ind w:left="1984" w:right="0" w:firstLine="0"/>
      <w:spacing w:after="57"/>
    </w:pPr>
  </w:style>
  <w:style w:type="paragraph" w:styleId="190">
    <w:name w:val="toc 9"/>
    <w:basedOn w:val="11"/>
    <w:next w:val="11"/>
    <w:uiPriority w:val="39"/>
    <w:unhideWhenUsed/>
    <w:pPr>
      <w:ind w:left="2268" w:right="0" w:firstLine="0"/>
      <w:spacing w:after="57"/>
    </w:pPr>
  </w:style>
  <w:style w:type="paragraph" w:styleId="191">
    <w:name w:val="TOC Heading"/>
    <w:uiPriority w:val="39"/>
    <w:unhideWhenUsed/>
  </w:style>
  <w:style w:type="paragraph" w:styleId="192">
    <w:name w:val="table of figures"/>
    <w:basedOn w:val="11"/>
    <w:next w:val="11"/>
    <w:uiPriority w:val="99"/>
    <w:unhideWhenUsed/>
    <w:pPr>
      <w:spacing w:after="0" w:afterAutospacing="0"/>
    </w:pPr>
  </w:style>
  <w:style w:type="paragraph" w:styleId="617" w:default="1" w:customStyle="1">
    <w:name w:val="ConsPlusNormal"/>
    <w:pPr>
      <w:widowControl w:val="off"/>
    </w:pPr>
    <w:rPr>
      <w:rFonts w:ascii="Times New Roman" w:hAnsi="Times New Roman" w:cs="Times New Roman"/>
      <w:sz w:val="24"/>
      <w:lang w:val="ru-RU" w:eastAsia="ru-RU" w:bidi="ar-SA"/>
    </w:rPr>
  </w:style>
  <w:style w:type="paragraph" w:styleId="618" w:customStyle="1">
    <w:name w:val="ConsPlusNonformat"/>
    <w:pPr>
      <w:widowControl w:val="off"/>
    </w:pPr>
    <w:rPr>
      <w:rFonts w:ascii="Courier New" w:hAnsi="Courier New" w:cs="Courier New"/>
      <w:sz w:val="20"/>
      <w:lang w:val="ru-RU" w:eastAsia="ru-RU" w:bidi="ar-SA"/>
    </w:rPr>
  </w:style>
  <w:style w:type="paragraph" w:styleId="619" w:customStyle="1">
    <w:name w:val="ConsPlusTitle"/>
    <w:pPr>
      <w:widowControl w:val="off"/>
    </w:pPr>
    <w:rPr>
      <w:rFonts w:ascii="Arial" w:hAnsi="Arial" w:cs="Arial"/>
      <w:b/>
      <w:sz w:val="24"/>
      <w:lang w:val="ru-RU" w:eastAsia="ru-RU" w:bidi="ar-SA"/>
    </w:rPr>
  </w:style>
  <w:style w:type="paragraph" w:styleId="620" w:customStyle="1">
    <w:name w:val="ConsPlusCell"/>
    <w:pPr>
      <w:widowControl w:val="off"/>
    </w:pPr>
    <w:rPr>
      <w:rFonts w:ascii="Courier New" w:hAnsi="Courier New" w:cs="Courier New"/>
      <w:sz w:val="20"/>
      <w:lang w:val="ru-RU" w:eastAsia="ru-RU" w:bidi="ar-SA"/>
    </w:rPr>
  </w:style>
  <w:style w:type="paragraph" w:styleId="621" w:customStyle="1">
    <w:name w:val="ConsPlusDocList"/>
    <w:pPr>
      <w:widowControl w:val="off"/>
    </w:pPr>
    <w:rPr>
      <w:rFonts w:ascii="Tahoma" w:hAnsi="Tahoma" w:cs="Tahoma"/>
      <w:sz w:val="18"/>
      <w:lang w:val="ru-RU" w:eastAsia="ru-RU" w:bidi="ar-SA"/>
    </w:rPr>
  </w:style>
  <w:style w:type="paragraph" w:styleId="622" w:customStyle="1">
    <w:name w:val="ConsPlusTitlePage"/>
    <w:pPr>
      <w:widowControl w:val="off"/>
    </w:pPr>
    <w:rPr>
      <w:rFonts w:ascii="Tahoma" w:hAnsi="Tahoma" w:cs="Tahoma"/>
      <w:sz w:val="20"/>
      <w:lang w:val="ru-RU" w:eastAsia="ru-RU" w:bidi="ar-SA"/>
    </w:rPr>
  </w:style>
  <w:style w:type="paragraph" w:styleId="623" w:customStyle="1">
    <w:name w:val="ConsPlusJurTerm"/>
    <w:pPr>
      <w:widowControl w:val="off"/>
    </w:pPr>
    <w:rPr>
      <w:rFonts w:ascii="Tahoma" w:hAnsi="Tahoma" w:cs="Tahoma"/>
      <w:sz w:val="26"/>
      <w:lang w:val="ru-RU" w:eastAsia="ru-RU" w:bidi="ar-SA"/>
    </w:rPr>
  </w:style>
  <w:style w:type="paragraph" w:styleId="624" w:customStyle="1">
    <w:name w:val="ConsPlusJurTerm"/>
    <w:pPr>
      <w:widowControl w:val="off"/>
    </w:pPr>
    <w:rPr>
      <w:rFonts w:ascii="Tahoma" w:hAnsi="Tahoma" w:cs="Tahoma"/>
      <w:sz w:val="26"/>
      <w:lang w:val="ru-RU" w:eastAsia="ru-RU" w:bidi="ar-SA"/>
    </w:rPr>
  </w:style>
  <w:style w:type="paragraph" w:styleId="625" w:customStyle="1">
    <w:name w:val="ConsPlusTextList"/>
    <w:pPr>
      <w:widowControl w:val="off"/>
    </w:pPr>
    <w:rPr>
      <w:rFonts w:ascii="Times New Roman" w:hAnsi="Times New Roman" w:cs="Times New Roman"/>
      <w:sz w:val="24"/>
      <w:lang w:val="ru-RU" w:eastAsia="ru-RU" w:bidi="ar-SA"/>
    </w:rPr>
  </w:style>
  <w:style w:type="paragraph" w:styleId="626" w:customStyle="1">
    <w:name w:val="ConsPlusTextList"/>
    <w:pPr>
      <w:widowControl w:val="off"/>
    </w:pPr>
    <w:rPr>
      <w:rFonts w:ascii="Times New Roman" w:hAnsi="Times New Roman" w:cs="Times New Roman"/>
      <w:sz w:val="24"/>
      <w:lang w:val="ru-RU" w:eastAsia="ru-RU" w:bidi="ar-SA"/>
    </w:rPr>
  </w:style>
  <w:style w:type="character" w:styleId="4138" w:default="1">
    <w:name w:val="Default Paragraph Font"/>
    <w:uiPriority w:val="1"/>
    <w:semiHidden/>
    <w:unhideWhenUsed/>
  </w:style>
  <w:style w:type="numbering" w:styleId="4139" w:default="1">
    <w:name w:val="No List"/>
    <w:uiPriority w:val="99"/>
    <w:semiHidden/>
    <w:unhideWhenUsed/>
  </w:style>
  <w:style w:type="table" w:styleId="4140"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yperlink" Target="https://login.consultant.ru/link/?req=doc&amp;base=SPB&amp;n=266451&amp;date=30.09.2026&amp;dst=100052&amp;field=134" TargetMode="External"/><Relationship Id="rId9" Type="http://schemas.openxmlformats.org/officeDocument/2006/relationships/hyperlink" Target="https://login.consultant.ru/link/?req=doc&amp;base=SPB&amp;n=242592&amp;date=30.09.2026&amp;dst=100005&amp;field=134" TargetMode="External"/><Relationship Id="rId10" Type="http://schemas.openxmlformats.org/officeDocument/2006/relationships/hyperlink" Target="https://login.consultant.ru/link/?req=doc&amp;base=SPB&amp;n=251066&amp;date=30.09.2026&amp;dst=100005&amp;field=134" TargetMode="External"/><Relationship Id="rId11" Type="http://schemas.openxmlformats.org/officeDocument/2006/relationships/hyperlink" Target="https://login.consultant.ru/link/?req=doc&amp;base=SPB&amp;n=262250&amp;date=30.09.2026&amp;dst=100005&amp;field=134" TargetMode="External"/><Relationship Id="rId12" Type="http://schemas.openxmlformats.org/officeDocument/2006/relationships/hyperlink" Target="https://login.consultant.ru/link/?req=doc&amp;base=SPB&amp;n=273661&amp;date=30.09.2026&amp;dst=100005&amp;field=134" TargetMode="External"/><Relationship Id="rId13" Type="http://schemas.openxmlformats.org/officeDocument/2006/relationships/hyperlink" Target="https://login.consultant.ru/link/?req=doc&amp;base=SPB&amp;n=303735&amp;date=30.09.2026&amp;dst=100005&amp;field=134" TargetMode="External"/><Relationship Id="rId14" Type="http://schemas.openxmlformats.org/officeDocument/2006/relationships/hyperlink" Target="https://login.consultant.ru/link/?req=doc&amp;base=SPB&amp;n=303304&amp;date=30.09.2026&amp;dst=100010&amp;field=134" TargetMode="External"/><Relationship Id="rId15" Type="http://schemas.openxmlformats.org/officeDocument/2006/relationships/hyperlink" Target="https://login.consultant.ru/link/?req=doc&amp;base=SPB&amp;n=322977&amp;date=30.09.2026&amp;dst=100005&amp;field=134" TargetMode="External"/><Relationship Id="rId16" Type="http://schemas.openxmlformats.org/officeDocument/2006/relationships/hyperlink" Target="https://login.consultant.ru/link/?req=doc&amp;base=SPB&amp;n=329177&amp;date=30.09.2026&amp;dst=100010&amp;field=134" TargetMode="External"/><Relationship Id="rId17" Type="http://schemas.openxmlformats.org/officeDocument/2006/relationships/hyperlink" Target="https://login.consultant.ru/link/?req=doc&amp;base=SPB&amp;n=335487&amp;date=30.09.2026&amp;dst=100005&amp;field=134" TargetMode="External"/><Relationship Id="rId18" Type="http://schemas.openxmlformats.org/officeDocument/2006/relationships/hyperlink" Target="https://login.consultant.ru/link/?req=doc&amp;base=LAW&amp;n=513926&amp;date=30.09.2026&amp;dst=7460&amp;field=134" TargetMode="External"/><Relationship Id="rId19" Type="http://schemas.openxmlformats.org/officeDocument/2006/relationships/hyperlink" Target="https://login.consultant.ru/link/?req=doc&amp;base=LAW&amp;n=543539&amp;date=30.09.2026&amp;dst=100029&amp;field=134" TargetMode="External"/><Relationship Id="rId20" Type="http://schemas.openxmlformats.org/officeDocument/2006/relationships/hyperlink" Target="https://login.consultant.ru/link/?req=doc&amp;base=SPB&amp;n=333281&amp;date=30.09.2026&amp;dst=100061&amp;field=134" TargetMode="External"/><Relationship Id="rId21" Type="http://schemas.openxmlformats.org/officeDocument/2006/relationships/hyperlink" Target="https://login.consultant.ru/link/?req=doc&amp;base=SPB&amp;n=332287&amp;date=30.09.2026&amp;dst=166812&amp;field=134" TargetMode="External"/><Relationship Id="rId22" Type="http://schemas.openxmlformats.org/officeDocument/2006/relationships/hyperlink" Target="https://login.consultant.ru/link/?req=doc&amp;base=SPB&amp;n=303735&amp;date=30.09.2026&amp;dst=100007&amp;field=134" TargetMode="External"/><Relationship Id="rId23" Type="http://schemas.openxmlformats.org/officeDocument/2006/relationships/hyperlink" Target="https://login.consultant.ru/link/?req=doc&amp;base=SPB&amp;n=329177&amp;date=30.09.2026&amp;dst=100011&amp;field=134" TargetMode="External"/><Relationship Id="rId24" Type="http://schemas.openxmlformats.org/officeDocument/2006/relationships/hyperlink" Target="https://login.consultant.ru/link/?req=doc&amp;base=SPB&amp;n=262250&amp;date=30.09.2026&amp;dst=100013&amp;field=134" TargetMode="External"/><Relationship Id="rId25" Type="http://schemas.openxmlformats.org/officeDocument/2006/relationships/hyperlink" Target="https://login.consultant.ru/link/?req=doc&amp;base=SPB&amp;n=303735&amp;date=30.09.2026&amp;dst=100009&amp;field=134" TargetMode="External"/><Relationship Id="rId26" Type="http://schemas.openxmlformats.org/officeDocument/2006/relationships/hyperlink" Target="https://login.consultant.ru/link/?req=doc&amp;base=SPB&amp;n=322977&amp;date=30.09.2026&amp;dst=100011&amp;field=134" TargetMode="External"/><Relationship Id="rId27" Type="http://schemas.openxmlformats.org/officeDocument/2006/relationships/hyperlink" Target="https://login.consultant.ru/link/?req=doc&amp;base=SPB&amp;n=273661&amp;date=30.09.2026&amp;dst=100011&amp;field=134" TargetMode="External"/><Relationship Id="rId28" Type="http://schemas.openxmlformats.org/officeDocument/2006/relationships/hyperlink" Target="https://login.consultant.ru/link/?req=doc&amp;base=SPB&amp;n=303735&amp;date=30.09.2026&amp;dst=100010&amp;field=134" TargetMode="External"/><Relationship Id="rId29" Type="http://schemas.openxmlformats.org/officeDocument/2006/relationships/hyperlink" Target="https://login.consultant.ru/link/?req=doc&amp;base=SPB&amp;n=303304&amp;date=30.09.2026&amp;dst=100010&amp;field=134" TargetMode="External"/><Relationship Id="rId30" Type="http://schemas.openxmlformats.org/officeDocument/2006/relationships/hyperlink" Target="https://login.consultant.ru/link/?req=doc&amp;base=SPB&amp;n=322977&amp;date=30.09.2026&amp;dst=100012&amp;field=134" TargetMode="External"/><Relationship Id="rId31" Type="http://schemas.openxmlformats.org/officeDocument/2006/relationships/hyperlink" Target="https://login.consultant.ru/link/?req=doc&amp;base=SPB&amp;n=329177&amp;date=30.09.2026&amp;dst=100012&amp;field=134" TargetMode="External"/><Relationship Id="rId32" Type="http://schemas.openxmlformats.org/officeDocument/2006/relationships/hyperlink" Target="https://login.consultant.ru/link/?req=doc&amp;base=SPB&amp;n=335487&amp;date=30.09.2026&amp;dst=100005&amp;field=134" TargetMode="External"/><Relationship Id="rId33" Type="http://schemas.openxmlformats.org/officeDocument/2006/relationships/hyperlink" Target="https://login.consultant.ru/link/?req=doc&amp;base=SPB&amp;n=322977&amp;date=30.09.2026&amp;dst=100015&amp;field=134" TargetMode="External"/><Relationship Id="rId34" Type="http://schemas.openxmlformats.org/officeDocument/2006/relationships/hyperlink" Target="https://login.consultant.ru/link/?req=doc&amp;base=SPB&amp;n=322977&amp;date=30.09.2026&amp;dst=100017&amp;field=134" TargetMode="External"/><Relationship Id="rId35" Type="http://schemas.openxmlformats.org/officeDocument/2006/relationships/hyperlink" Target="https://login.consultant.ru/link/?req=doc&amp;base=SPB&amp;n=322977&amp;date=30.09.2026&amp;dst=100031&amp;field=134" TargetMode="External"/><Relationship Id="rId36" Type="http://schemas.openxmlformats.org/officeDocument/2006/relationships/hyperlink" Target="https://login.consultant.ru/link/?req=doc&amp;base=SPB&amp;n=329177&amp;date=30.09.2026&amp;dst=100014&amp;field=134" TargetMode="External"/><Relationship Id="rId37" Type="http://schemas.openxmlformats.org/officeDocument/2006/relationships/hyperlink" Target="https://login.consultant.ru/link/?req=doc&amp;base=SPB&amp;n=329177&amp;date=30.09.2026&amp;dst=100015&amp;field=134" TargetMode="External"/><Relationship Id="rId38" Type="http://schemas.openxmlformats.org/officeDocument/2006/relationships/hyperlink" Target="https://login.consultant.ru/link/?req=doc&amp;base=SPB&amp;n=322977&amp;date=30.09.2026&amp;dst=100032&amp;field=134" TargetMode="External"/><Relationship Id="rId39" Type="http://schemas.openxmlformats.org/officeDocument/2006/relationships/hyperlink" Target="https://login.consultant.ru/link/?req=doc&amp;base=SPB&amp;n=322977&amp;date=30.09.2026&amp;dst=100037&amp;field=134" TargetMode="External"/><Relationship Id="rId40" Type="http://schemas.openxmlformats.org/officeDocument/2006/relationships/hyperlink" Target="https://login.consultant.ru/link/?req=doc&amp;base=SPB&amp;n=329177&amp;date=30.09.2026&amp;dst=100016&amp;field=134" TargetMode="External"/><Relationship Id="rId41" Type="http://schemas.openxmlformats.org/officeDocument/2006/relationships/hyperlink" Target="https://login.consultant.ru/link/?req=doc&amp;base=SPB&amp;n=322977&amp;date=30.09.2026&amp;dst=100038&amp;field=134" TargetMode="External"/><Relationship Id="rId42" Type="http://schemas.openxmlformats.org/officeDocument/2006/relationships/hyperlink" Target="https://&#1083;&#1077;&#1085;&#1086;&#1073;&#1083;&#1072;&#1089;&#1090;&#1100;.&#1075;&#1088;&#1072;&#1085;&#1090;&#1099;.&#1088;&#1092;" TargetMode="External"/><Relationship Id="rId43" Type="http://schemas.openxmlformats.org/officeDocument/2006/relationships/hyperlink" Target="https://&#1083;&#1077;&#1085;&#1086;&#1073;&#1083;&#1072;&#1089;&#1090;&#1100;.&#1075;&#1088;&#1072;&#1085;&#1090;&#1099;.&#1088;&#1092;" TargetMode="External"/><Relationship Id="rId44" Type="http://schemas.openxmlformats.org/officeDocument/2006/relationships/hyperlink" Target="https://login.consultant.ru/link/?req=doc&amp;base=SPB&amp;n=335487&amp;date=30.09.2026&amp;dst=100009&amp;field=134" TargetMode="External"/><Relationship Id="rId45" Type="http://schemas.openxmlformats.org/officeDocument/2006/relationships/hyperlink" Target="https://login.consultant.ru/link/?req=doc&amp;base=LAW&amp;n=538224&amp;date=30.09.2026" TargetMode="External"/><Relationship Id="rId46" Type="http://schemas.openxmlformats.org/officeDocument/2006/relationships/hyperlink" Target="https://login.consultant.ru/link/?req=doc&amp;base=LAW&amp;n=519035&amp;date=30.09.2026&amp;dst=5769&amp;field=134" TargetMode="External"/><Relationship Id="rId47" Type="http://schemas.openxmlformats.org/officeDocument/2006/relationships/hyperlink" Target="https://login.consultant.ru/link/?req=doc&amp;base=LAW&amp;n=513926&amp;date=30.09.2026&amp;dst=3704&amp;field=134" TargetMode="External"/><Relationship Id="rId48" Type="http://schemas.openxmlformats.org/officeDocument/2006/relationships/hyperlink" Target="https://login.consultant.ru/link/?req=doc&amp;base=LAW&amp;n=513926&amp;date=30.09.2026&amp;dst=3722&amp;field=134" TargetMode="External"/><Relationship Id="rId49" Type="http://schemas.openxmlformats.org/officeDocument/2006/relationships/hyperlink" Target="https://login.consultant.ru/link/?req=doc&amp;base=SPB&amp;n=335487&amp;date=30.09.2026&amp;dst=100011&amp;field=134" TargetMode="External"/><Relationship Id="rId50" Type="http://schemas.openxmlformats.org/officeDocument/2006/relationships/hyperlink" Target="https://login.consultant.ru/link/?req=doc&amp;base=SPB&amp;n=335487&amp;date=30.09.2026&amp;dst=100013&amp;field=134" TargetMode="External"/><Relationship Id="rId51" Type="http://schemas.openxmlformats.org/officeDocument/2006/relationships/hyperlink" Target="https://login.consultant.ru/link/?req=doc&amp;base=SPB&amp;n=335487&amp;date=30.09.2026&amp;dst=100014&amp;field=134" TargetMode="External"/><Relationship Id="rId52" Type="http://schemas.openxmlformats.org/officeDocument/2006/relationships/hyperlink" Target="https://&#1083;&#1077;&#1085;&#1086;&#1073;&#1083;&#1072;&#1089;&#1090;&#1100;.&#1075;&#1088;&#1072;&#1085;&#1090;&#1099;.&#1088;&#1092;" TargetMode="External"/><Relationship Id="rId53" Type="http://schemas.openxmlformats.org/officeDocument/2006/relationships/hyperlink" Target="https://&#1083;&#1077;&#1085;&#1086;&#1073;&#1083;&#1072;&#1089;&#1090;&#1100;.&#1075;&#1088;&#1072;&#1085;&#1090;&#1099;.&#1088;&#1092;" TargetMode="External"/><Relationship Id="rId54" Type="http://schemas.openxmlformats.org/officeDocument/2006/relationships/hyperlink" Target="https://login.consultant.ru/link/?req=doc&amp;base=SPB&amp;n=335487&amp;date=30.09.2026&amp;dst=100016&amp;field=134" TargetMode="External"/><Relationship Id="rId55" Type="http://schemas.openxmlformats.org/officeDocument/2006/relationships/hyperlink" Target="https://&#1083;&#1077;&#1085;&#1086;&#1073;&#1083;&#1072;&#1089;&#1090;&#1100;.&#1075;&#1088;&#1072;&#1085;&#1090;&#1099;.&#1088;&#1092;" TargetMode="External"/><Relationship Id="rId56" Type="http://schemas.openxmlformats.org/officeDocument/2006/relationships/image" Target="media/image1.wmf"/><Relationship Id="rId57" Type="http://schemas.openxmlformats.org/officeDocument/2006/relationships/image" Target="media/media1.svg"/><Relationship Id="rId58" Type="http://schemas.openxmlformats.org/officeDocument/2006/relationships/hyperlink" Target="https://login.consultant.ru/link/?req=doc&amp;base=SPB&amp;n=335487&amp;date=30.09.2026&amp;dst=100017&amp;field=134" TargetMode="External"/><Relationship Id="rId59" Type="http://schemas.openxmlformats.org/officeDocument/2006/relationships/hyperlink" Target="https://&#1083;&#1077;&#1085;&#1086;&#1073;&#1083;&#1072;&#1089;&#1090;&#1100;.&#1075;&#1088;&#1072;&#1085;&#1090;&#1099;.&#1088;&#1092;" TargetMode="External"/><Relationship Id="rId60" Type="http://schemas.openxmlformats.org/officeDocument/2006/relationships/hyperlink" Target="https://&#1083;&#1077;&#1085;&#1086;&#1073;&#1083;&#1072;&#1089;&#1090;&#1100;.&#1075;&#1088;&#1072;&#1085;&#1090;&#1099;.&#1088;&#1092;" TargetMode="External"/><Relationship Id="rId61" Type="http://schemas.openxmlformats.org/officeDocument/2006/relationships/hyperlink" Target="https://&#1083;&#1077;&#1085;&#1086;&#1073;&#1083;&#1072;&#1089;&#1090;&#1100;.&#1075;&#1088;&#1072;&#1085;&#1090;&#1099;.&#1088;&#1092;" TargetMode="External"/><Relationship Id="rId62" Type="http://schemas.openxmlformats.org/officeDocument/2006/relationships/hyperlink" Target="https://&#1083;&#1077;&#1085;&#1086;&#1073;&#1083;&#1072;&#1089;&#1090;&#1100;.&#1075;&#1088;&#1072;&#1085;&#1090;&#1099;.&#1088;&#1092;" TargetMode="External"/><Relationship Id="rId63" Type="http://schemas.openxmlformats.org/officeDocument/2006/relationships/hyperlink" Target="https://login.consultant.ru/link/?req=doc&amp;base=LAW&amp;n=513926&amp;date=30.09.2026&amp;dst=3704&amp;field=134" TargetMode="External"/><Relationship Id="rId64" Type="http://schemas.openxmlformats.org/officeDocument/2006/relationships/hyperlink" Target="https://login.consultant.ru/link/?req=doc&amp;base=LAW&amp;n=513926&amp;date=30.09.2026&amp;dst=3722&amp;field=134" TargetMode="External"/><Relationship Id="rId65" Type="http://schemas.openxmlformats.org/officeDocument/2006/relationships/hyperlink" Target="https://login.consultant.ru/link/?req=doc&amp;base=LAW&amp;n=513926&amp;date=30.09.2026&amp;dst=3704&amp;field=134" TargetMode="External"/><Relationship Id="rId66" Type="http://schemas.openxmlformats.org/officeDocument/2006/relationships/hyperlink" Target="https://login.consultant.ru/link/?req=doc&amp;base=LAW&amp;n=513926&amp;date=30.09.2026&amp;dst=3722&amp;field=134" TargetMode="External"/><Relationship Id="rId67" Type="http://schemas.openxmlformats.org/officeDocument/2006/relationships/hyperlink" Target="https://login.consultant.ru/link/?req=doc&amp;base=SPB&amp;n=303304&amp;date=30.09.2026&amp;dst=100087&amp;field=134" TargetMode="External"/><Relationship Id="rId68" Type="http://schemas.openxmlformats.org/officeDocument/2006/relationships/hyperlink" Target="https://login.consultant.ru/link/?req=doc&amp;base=SPB&amp;n=335487&amp;date=30.09.2026&amp;dst=100019&amp;field=134" TargetMode="External"/><Relationship Id="rId69" Type="http://schemas.openxmlformats.org/officeDocument/2006/relationships/hyperlink" Target="https://login.consultant.ru/link/?req=doc&amp;base=SPB&amp;n=335487&amp;date=30.09.2026&amp;dst=100020&amp;field=134" TargetMode="External"/><Relationship Id="rId70" Type="http://schemas.openxmlformats.org/officeDocument/2006/relationships/hyperlink" Target="https://login.consultant.ru/link/?req=doc&amp;base=SPB&amp;n=335487&amp;date=30.09.2026&amp;dst=100022&amp;field=134" TargetMode="External"/><Relationship Id="rId71" Type="http://schemas.openxmlformats.org/officeDocument/2006/relationships/hyperlink" Target="https://login.consultant.ru/link/?req=doc&amp;base=SPB&amp;n=322977&amp;date=30.09.2026&amp;dst=100204&amp;field=134" TargetMode="External"/><Relationship Id="rId72" Type="http://schemas.openxmlformats.org/officeDocument/2006/relationships/hyperlink" Target="https://login.consultant.ru/link/?req=doc&amp;base=SPB&amp;n=335487&amp;date=30.09.2026&amp;dst=100025&amp;field=134" TargetMode="External"/><Relationship Id="rId73" Type="http://schemas.openxmlformats.org/officeDocument/2006/relationships/hyperlink" Target="https://login.consultant.ru/link/?req=doc&amp;base=SPB&amp;n=335487&amp;date=30.09.2026&amp;dst=100026&amp;field=134" TargetMode="External"/><Relationship Id="rId74" Type="http://schemas.openxmlformats.org/officeDocument/2006/relationships/hyperlink" Target="https://login.consultant.ru/link/?req=doc&amp;base=SPB&amp;n=322977&amp;date=30.09.2026&amp;dst=100207&amp;field=134" TargetMode="External"/><Relationship Id="rId75" Type="http://schemas.openxmlformats.org/officeDocument/2006/relationships/hyperlink" Target="https://login.consultant.ru/link/?req=doc&amp;base=SPB&amp;n=322977&amp;date=30.09.2026&amp;dst=100209&amp;field=134" TargetMode="External"/><Relationship Id="rId76" Type="http://schemas.openxmlformats.org/officeDocument/2006/relationships/hyperlink" Target="https://login.consultant.ru/link/?req=doc&amp;base=SPB&amp;n=335487&amp;date=30.09.2026&amp;dst=100027&amp;field=134" TargetMode="External"/><Relationship Id="rId77" Type="http://schemas.openxmlformats.org/officeDocument/2006/relationships/hyperlink" Target="https://login.consultant.ru/link/?req=doc&amp;base=SPB&amp;n=335487&amp;date=30.09.2026&amp;dst=100029&amp;field=134" TargetMode="External"/><Relationship Id="rId78" Type="http://schemas.openxmlformats.org/officeDocument/2006/relationships/hyperlink" Target="https://login.consultant.ru/link/?req=doc&amp;base=SPB&amp;n=335487&amp;date=30.09.2026&amp;dst=100030&amp;field=134" TargetMode="External"/><Relationship Id="rId79" Type="http://schemas.openxmlformats.org/officeDocument/2006/relationships/hyperlink" Target="https://login.consultant.ru/link/?req=doc&amp;base=SPB&amp;n=322977&amp;date=30.09.2026&amp;dst=100217&amp;field=134" TargetMode="External"/><Relationship Id="rId80" Type="http://schemas.openxmlformats.org/officeDocument/2006/relationships/hyperlink" Target="https://login.consultant.ru/link/?req=doc&amp;base=SPB&amp;n=335487&amp;date=30.09.2026&amp;dst=100031&amp;field=134" TargetMode="External"/><Relationship Id="rId81" Type="http://schemas.openxmlformats.org/officeDocument/2006/relationships/hyperlink" Target="https://login.consultant.ru/link/?req=doc&amp;base=LAW&amp;n=513926&amp;date=30.09.2026&amp;dst=3704&amp;field=134" TargetMode="External"/><Relationship Id="rId82" Type="http://schemas.openxmlformats.org/officeDocument/2006/relationships/hyperlink" Target="https://login.consultant.ru/link/?req=doc&amp;base=LAW&amp;n=513926&amp;date=30.09.2026&amp;dst=3722&amp;field=134" TargetMode="External"/><Relationship Id="rId83" Type="http://schemas.openxmlformats.org/officeDocument/2006/relationships/hyperlink" Target="https://login.consultant.ru/link/?req=doc&amp;base=SPB&amp;n=335487&amp;date=30.09.2026&amp;dst=100033&amp;field=134" TargetMode="External"/><Relationship Id="rId84" Type="http://schemas.openxmlformats.org/officeDocument/2006/relationships/hyperlink" Target="https://login.consultant.ru/link/?req=doc&amp;base=SPB&amp;n=322977&amp;date=30.09.2026&amp;dst=100272&amp;field=134" TargetMode="External"/><Relationship Id="rId85" Type="http://schemas.openxmlformats.org/officeDocument/2006/relationships/hyperlink" Target="https://login.consultant.ru/link/?req=doc&amp;base=SPB&amp;n=335487&amp;date=30.09.2026&amp;dst=100034&amp;field=134" TargetMode="External"/><Relationship Id="rId86" Type="http://schemas.openxmlformats.org/officeDocument/2006/relationships/hyperlink" Target="https://login.consultant.ru/link/?req=doc&amp;base=SPB&amp;n=335487&amp;date=30.09.2026&amp;dst=100034&amp;field=134" TargetMode="External"/><Relationship Id="rId87" Type="http://schemas.openxmlformats.org/officeDocument/2006/relationships/hyperlink" Target="https://login.consultant.ru/link/?req=doc&amp;base=SPB&amp;n=335487&amp;date=30.09.2026&amp;dst=100034&amp;field=134" TargetMode="External"/><Relationship Id="rId88" Type="http://schemas.openxmlformats.org/officeDocument/2006/relationships/hyperlink" Target="https://login.consultant.ru/link/?req=doc&amp;base=SPB&amp;n=335487&amp;date=30.09.2026&amp;dst=100034&amp;field=134" TargetMode="External"/><Relationship Id="rId89" Type="http://schemas.openxmlformats.org/officeDocument/2006/relationships/hyperlink" Target="https://login.consultant.ru/link/?req=doc&amp;base=SPB&amp;n=335749&amp;date=30.09.2026&amp;dst=100001&amp;field=13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Ленинградской области от 29.06.2020 N 451
(ред. от 26.08.2026)
"Об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 осуществляющим деятельность в сфере социальной поддержки и защиты ветеранов, "серебряных" волонтеров, инвалидов, в рамках государственной программы Ленинградской области "Устойчивое общественное развитие в Ленинградской области"</dc:title>
  <cp:lastModifiedBy>os_boyarkina</cp:lastModifiedBy>
  <cp:revision>1</cp:revision>
  <dcterms:created xsi:type="dcterms:W3CDTF">2026-09-30T06:04:34Z</dcterms:created>
  <dcterms:modified xsi:type="dcterms:W3CDTF">2026-09-30T06:08:49Z</dcterms:modified>
</cp:coreProperties>
</file>